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B9E59" w14:textId="12116037" w:rsidR="007E53A1" w:rsidRPr="005F19CB" w:rsidRDefault="005A2024" w:rsidP="00F36CA0">
      <w:pPr>
        <w:pStyle w:val="Title"/>
        <w:suppressLineNumbers/>
        <w:spacing w:before="120"/>
        <w:rPr>
          <w:u w:val="none"/>
        </w:rPr>
      </w:pPr>
      <w:r>
        <w:rPr>
          <w:u w:val="none"/>
        </w:rPr>
        <w:t>REButtal</w:t>
      </w:r>
      <w:r w:rsidR="007E53A1" w:rsidRPr="005F19CB">
        <w:rPr>
          <w:u w:val="none"/>
        </w:rPr>
        <w:t xml:space="preserve"> TESTIMONY OF</w:t>
      </w:r>
    </w:p>
    <w:p w14:paraId="6C369D5D" w14:textId="1DDF921C" w:rsidR="007E53A1" w:rsidRPr="005F19CB" w:rsidRDefault="000548A3" w:rsidP="00F36CA0">
      <w:pPr>
        <w:suppressLineNumbers/>
        <w:spacing w:before="120" w:after="120"/>
        <w:jc w:val="center"/>
        <w:outlineLvl w:val="0"/>
        <w:rPr>
          <w:b/>
        </w:rPr>
      </w:pPr>
      <w:r>
        <w:rPr>
          <w:b/>
        </w:rPr>
        <w:t>AARON P. ABRAMOVITZ</w:t>
      </w:r>
      <w:r w:rsidR="00634DFD">
        <w:rPr>
          <w:b/>
        </w:rPr>
        <w:t xml:space="preserve"> AND</w:t>
      </w:r>
      <w:r w:rsidR="007E53A1" w:rsidRPr="005F19CB">
        <w:rPr>
          <w:b/>
        </w:rPr>
        <w:t xml:space="preserve"> </w:t>
      </w:r>
      <w:r w:rsidR="007E53A1">
        <w:rPr>
          <w:b/>
        </w:rPr>
        <w:t>SARAH P. ADAMS</w:t>
      </w:r>
    </w:p>
    <w:p w14:paraId="556ECA2C" w14:textId="77777777" w:rsidR="00483397" w:rsidRDefault="00483397" w:rsidP="00F36CA0">
      <w:pPr>
        <w:suppressLineNumbers/>
        <w:spacing w:before="120" w:after="120"/>
        <w:jc w:val="center"/>
        <w:outlineLvl w:val="0"/>
        <w:rPr>
          <w:b/>
        </w:rPr>
      </w:pPr>
      <w:r>
        <w:rPr>
          <w:b/>
        </w:rPr>
        <w:t xml:space="preserve">IN SUPPORT OF GEORGIA POWER COMPANY’S PLANT VOGTLE </w:t>
      </w:r>
    </w:p>
    <w:p w14:paraId="5ACAA713" w14:textId="4B111D14" w:rsidR="007E53A1" w:rsidRDefault="00483397" w:rsidP="00F36CA0">
      <w:pPr>
        <w:suppressLineNumbers/>
        <w:spacing w:before="120" w:after="120"/>
        <w:jc w:val="center"/>
        <w:outlineLvl w:val="0"/>
        <w:rPr>
          <w:b/>
        </w:rPr>
      </w:pPr>
      <w:r>
        <w:rPr>
          <w:b/>
        </w:rPr>
        <w:t xml:space="preserve">UNIT 3 AND COMMON RATE ADJUSTMENT APPLICATION </w:t>
      </w:r>
    </w:p>
    <w:p w14:paraId="2B785DAB" w14:textId="77777777" w:rsidR="007E53A1" w:rsidRPr="005F19CB" w:rsidRDefault="007E53A1" w:rsidP="00F36CA0">
      <w:pPr>
        <w:suppressLineNumbers/>
        <w:spacing w:before="120" w:after="120"/>
        <w:jc w:val="center"/>
        <w:outlineLvl w:val="0"/>
        <w:rPr>
          <w:b/>
        </w:rPr>
      </w:pPr>
    </w:p>
    <w:p w14:paraId="43AE33D3" w14:textId="4BE242F4" w:rsidR="00972855" w:rsidRDefault="007E53A1" w:rsidP="00F36CA0">
      <w:pPr>
        <w:suppressLineNumbers/>
        <w:spacing w:before="120" w:after="120"/>
        <w:jc w:val="center"/>
        <w:outlineLvl w:val="0"/>
        <w:rPr>
          <w:b/>
        </w:rPr>
      </w:pPr>
      <w:r w:rsidRPr="005F19CB">
        <w:rPr>
          <w:b/>
        </w:rPr>
        <w:t xml:space="preserve">DOCKET NO. </w:t>
      </w:r>
      <w:r>
        <w:rPr>
          <w:b/>
        </w:rPr>
        <w:t>4</w:t>
      </w:r>
      <w:r w:rsidR="00634DFD">
        <w:rPr>
          <w:b/>
        </w:rPr>
        <w:t>3838</w:t>
      </w:r>
    </w:p>
    <w:p w14:paraId="0D07032B" w14:textId="77777777" w:rsidR="008D6025" w:rsidRDefault="008D6025" w:rsidP="00F36CA0">
      <w:pPr>
        <w:suppressLineNumbers/>
        <w:spacing w:before="120"/>
        <w:outlineLvl w:val="0"/>
        <w:rPr>
          <w:b/>
        </w:rPr>
      </w:pPr>
    </w:p>
    <w:p w14:paraId="6111301B" w14:textId="77777777" w:rsidR="007E53A1" w:rsidRPr="00334F9A" w:rsidRDefault="007E53A1" w:rsidP="00F36CA0">
      <w:pPr>
        <w:pStyle w:val="OutlineL1"/>
        <w:spacing w:after="0" w:line="360" w:lineRule="auto"/>
        <w:jc w:val="left"/>
      </w:pPr>
      <w:bookmarkStart w:id="0" w:name="_Toc11174244"/>
      <w:r w:rsidRPr="00334F9A">
        <w:t>INTRODUCTION</w:t>
      </w:r>
      <w:bookmarkEnd w:id="0"/>
    </w:p>
    <w:p w14:paraId="6B6F7172" w14:textId="203CA838" w:rsidR="007E53A1" w:rsidRPr="005F19CB" w:rsidRDefault="007E53A1" w:rsidP="00F36CA0">
      <w:pPr>
        <w:spacing w:before="240" w:after="240" w:line="360" w:lineRule="auto"/>
        <w:jc w:val="both"/>
        <w:rPr>
          <w:b/>
        </w:rPr>
      </w:pPr>
      <w:r w:rsidRPr="005F19CB">
        <w:rPr>
          <w:b/>
        </w:rPr>
        <w:t>Q.</w:t>
      </w:r>
      <w:r w:rsidRPr="005F19CB">
        <w:rPr>
          <w:b/>
        </w:rPr>
        <w:tab/>
        <w:t>PLEASE STATE YOUR NAME</w:t>
      </w:r>
      <w:r>
        <w:rPr>
          <w:b/>
        </w:rPr>
        <w:t>S</w:t>
      </w:r>
      <w:r w:rsidRPr="005F19CB">
        <w:rPr>
          <w:b/>
        </w:rPr>
        <w:t>, TITLE</w:t>
      </w:r>
      <w:r>
        <w:rPr>
          <w:b/>
        </w:rPr>
        <w:t>S</w:t>
      </w:r>
      <w:r w:rsidRPr="005F19CB">
        <w:rPr>
          <w:b/>
        </w:rPr>
        <w:t>, AND BUSINESS ADDRESS</w:t>
      </w:r>
      <w:r>
        <w:rPr>
          <w:b/>
        </w:rPr>
        <w:t>ES</w:t>
      </w:r>
      <w:r w:rsidRPr="005F19CB">
        <w:rPr>
          <w:b/>
        </w:rPr>
        <w:t>.</w:t>
      </w:r>
    </w:p>
    <w:p w14:paraId="3E3E0D45" w14:textId="77777777" w:rsidR="00E46F21" w:rsidRDefault="007E53A1" w:rsidP="00F36CA0">
      <w:pPr>
        <w:spacing w:line="360" w:lineRule="auto"/>
        <w:ind w:left="720" w:hanging="720"/>
        <w:jc w:val="both"/>
      </w:pPr>
      <w:r w:rsidRPr="005F19CB">
        <w:t>A.</w:t>
      </w:r>
      <w:r w:rsidRPr="005F19CB">
        <w:tab/>
      </w:r>
      <w:r w:rsidR="00F53564" w:rsidRPr="00F53564">
        <w:t xml:space="preserve">Aaron P. </w:t>
      </w:r>
      <w:bookmarkStart w:id="1" w:name="_Hlk80891632"/>
      <w:r w:rsidR="00F53564" w:rsidRPr="00F53564">
        <w:t>Abramovitz</w:t>
      </w:r>
      <w:bookmarkEnd w:id="1"/>
      <w:r w:rsidRPr="005F19CB">
        <w:t>.</w:t>
      </w:r>
      <w:r w:rsidR="00BB0986">
        <w:t xml:space="preserve"> </w:t>
      </w:r>
      <w:r w:rsidRPr="005F19CB">
        <w:t xml:space="preserve">I am </w:t>
      </w:r>
      <w:r w:rsidR="00412C93">
        <w:t xml:space="preserve">the </w:t>
      </w:r>
      <w:r>
        <w:t xml:space="preserve">Executive Vice President, Chief Financial Officer, </w:t>
      </w:r>
      <w:r w:rsidR="00634DFD">
        <w:t xml:space="preserve">and </w:t>
      </w:r>
      <w:r>
        <w:t>Treasurer</w:t>
      </w:r>
      <w:r w:rsidRPr="005F19CB">
        <w:t xml:space="preserve"> for Georgia Power Company (“Georgia Power” or the “Company”).</w:t>
      </w:r>
      <w:r w:rsidR="00BB0986">
        <w:t xml:space="preserve"> </w:t>
      </w:r>
      <w:r w:rsidRPr="00BC315F">
        <w:t>My business address is 241 Ralph McGill Boulevard, Atlanta, Georgia 30308.</w:t>
      </w:r>
    </w:p>
    <w:p w14:paraId="2D600300" w14:textId="77276AED" w:rsidR="007E53A1" w:rsidRPr="008D6025" w:rsidRDefault="008D6025" w:rsidP="00F36CA0">
      <w:pPr>
        <w:spacing w:line="360" w:lineRule="auto"/>
        <w:ind w:left="720" w:hanging="720"/>
        <w:jc w:val="both"/>
      </w:pPr>
      <w:r>
        <w:tab/>
      </w:r>
      <w:r>
        <w:tab/>
      </w:r>
      <w:r>
        <w:tab/>
      </w:r>
      <w:r>
        <w:tab/>
      </w:r>
    </w:p>
    <w:p w14:paraId="62A76E2D" w14:textId="2992F7EB" w:rsidR="007E53A1" w:rsidRPr="005F19CB" w:rsidRDefault="00B849AD" w:rsidP="00F36CA0">
      <w:pPr>
        <w:pStyle w:val="ListParagraph"/>
        <w:spacing w:line="360" w:lineRule="auto"/>
        <w:ind w:hanging="720"/>
        <w:jc w:val="both"/>
      </w:pPr>
      <w:r>
        <w:t xml:space="preserve">A. </w:t>
      </w:r>
      <w:r>
        <w:tab/>
      </w:r>
      <w:r w:rsidR="007E53A1">
        <w:t>Sarah P. Adams.</w:t>
      </w:r>
      <w:r w:rsidR="00BB0986">
        <w:t xml:space="preserve"> </w:t>
      </w:r>
      <w:r w:rsidR="007E53A1" w:rsidRPr="005F19CB">
        <w:t>I am</w:t>
      </w:r>
      <w:r w:rsidR="00412C93">
        <w:t xml:space="preserve"> the</w:t>
      </w:r>
      <w:r w:rsidR="007E53A1" w:rsidRPr="005F19CB">
        <w:t xml:space="preserve"> </w:t>
      </w:r>
      <w:r w:rsidR="00634DFD">
        <w:t xml:space="preserve">Vice President and </w:t>
      </w:r>
      <w:r w:rsidR="007E53A1" w:rsidRPr="005F19CB">
        <w:t>Comptroller for Georgia Power.</w:t>
      </w:r>
      <w:r w:rsidR="00BB0986">
        <w:t xml:space="preserve"> </w:t>
      </w:r>
      <w:r w:rsidR="007E53A1" w:rsidRPr="005F19CB">
        <w:t>My business address is 241 Ralph McGill Boulevard, Atlanta, Georgia 30308.</w:t>
      </w:r>
    </w:p>
    <w:p w14:paraId="35E7474F" w14:textId="741117C1" w:rsidR="00F143F1" w:rsidRDefault="007E53A1" w:rsidP="00F36CA0">
      <w:pPr>
        <w:spacing w:before="240" w:after="240" w:line="360" w:lineRule="auto"/>
        <w:ind w:left="720" w:hanging="720"/>
        <w:jc w:val="both"/>
        <w:rPr>
          <w:b/>
        </w:rPr>
      </w:pPr>
      <w:r w:rsidRPr="005F19CB">
        <w:rPr>
          <w:b/>
        </w:rPr>
        <w:t>Q.</w:t>
      </w:r>
      <w:r w:rsidRPr="005F19CB">
        <w:rPr>
          <w:b/>
        </w:rPr>
        <w:tab/>
        <w:t>M</w:t>
      </w:r>
      <w:r>
        <w:rPr>
          <w:b/>
        </w:rPr>
        <w:t>R</w:t>
      </w:r>
      <w:r w:rsidRPr="005F19CB">
        <w:rPr>
          <w:b/>
        </w:rPr>
        <w:t xml:space="preserve">. </w:t>
      </w:r>
      <w:r w:rsidR="00F53564" w:rsidRPr="00F53564">
        <w:rPr>
          <w:b/>
        </w:rPr>
        <w:t>ABRAMOVITZ</w:t>
      </w:r>
      <w:r w:rsidR="005A2024">
        <w:rPr>
          <w:b/>
        </w:rPr>
        <w:t xml:space="preserve"> AND MS. ADAMS, DID YOU PRESENT DIRECT TESTIMONY ON BEHALF OF GEORGIA POWER IN THIS PROCEEDING?</w:t>
      </w:r>
      <w:r w:rsidRPr="005F19CB">
        <w:rPr>
          <w:b/>
        </w:rPr>
        <w:t xml:space="preserve"> </w:t>
      </w:r>
    </w:p>
    <w:p w14:paraId="2D3AF56B" w14:textId="01A49F32" w:rsidR="007E53A1" w:rsidRPr="00FC00C2" w:rsidRDefault="00F143F1" w:rsidP="00F36CA0">
      <w:pPr>
        <w:spacing w:line="360" w:lineRule="auto"/>
        <w:ind w:left="720" w:hanging="720"/>
        <w:jc w:val="both"/>
      </w:pPr>
      <w:r>
        <w:t>A.</w:t>
      </w:r>
      <w:r>
        <w:tab/>
      </w:r>
      <w:r w:rsidR="005A2024">
        <w:t>Yes.</w:t>
      </w:r>
    </w:p>
    <w:p w14:paraId="5D382E9A" w14:textId="54B73C00" w:rsidR="003D4169" w:rsidRPr="003D4169" w:rsidRDefault="003D4169" w:rsidP="003D4169">
      <w:pPr>
        <w:pStyle w:val="NormalWeb"/>
        <w:spacing w:before="240" w:line="360" w:lineRule="auto"/>
        <w:ind w:left="720" w:hanging="720"/>
        <w:outlineLvl w:val="0"/>
        <w:rPr>
          <w:b/>
        </w:rPr>
      </w:pPr>
      <w:r w:rsidRPr="003D4169">
        <w:rPr>
          <w:b/>
        </w:rPr>
        <w:t>Q.</w:t>
      </w:r>
      <w:r w:rsidRPr="003D4169">
        <w:rPr>
          <w:b/>
        </w:rPr>
        <w:tab/>
        <w:t xml:space="preserve">ARE THERE ANY UPDATES TO THE COMPANY’S APPLICATION FILED ON JUNE 15, 2021? </w:t>
      </w:r>
    </w:p>
    <w:p w14:paraId="4F60BADD" w14:textId="0A935598" w:rsidR="003D4169" w:rsidRDefault="003D4169" w:rsidP="003D4169">
      <w:pPr>
        <w:pStyle w:val="NormalWeb"/>
        <w:spacing w:before="240" w:line="360" w:lineRule="auto"/>
        <w:ind w:left="720" w:hanging="720"/>
        <w:jc w:val="both"/>
        <w:outlineLvl w:val="0"/>
        <w:rPr>
          <w:bCs/>
        </w:rPr>
      </w:pPr>
      <w:r w:rsidRPr="003D4169">
        <w:rPr>
          <w:bCs/>
        </w:rPr>
        <w:t>A.</w:t>
      </w:r>
      <w:r w:rsidRPr="003D4169">
        <w:rPr>
          <w:bCs/>
        </w:rPr>
        <w:tab/>
        <w:t xml:space="preserve">Yes, the Company is currently targeting Vogtle Unit 3 to achieve Commercial Operation in </w:t>
      </w:r>
      <w:r>
        <w:rPr>
          <w:bCs/>
        </w:rPr>
        <w:t>June</w:t>
      </w:r>
      <w:r w:rsidRPr="003D4169">
        <w:rPr>
          <w:bCs/>
        </w:rPr>
        <w:t xml:space="preserve"> 2022. Therefore, an updated set of </w:t>
      </w:r>
      <w:r w:rsidR="00167947">
        <w:rPr>
          <w:bCs/>
        </w:rPr>
        <w:t>minimum filing requirement (“</w:t>
      </w:r>
      <w:proofErr w:type="spellStart"/>
      <w:r w:rsidRPr="003D4169">
        <w:rPr>
          <w:bCs/>
        </w:rPr>
        <w:t>MFR</w:t>
      </w:r>
      <w:proofErr w:type="spellEnd"/>
      <w:r w:rsidR="00167947">
        <w:rPr>
          <w:bCs/>
        </w:rPr>
        <w:t>”)</w:t>
      </w:r>
      <w:r w:rsidRPr="003D4169">
        <w:rPr>
          <w:bCs/>
        </w:rPr>
        <w:t xml:space="preserve"> schedules, comparable to those submitted with the Company’s Application filed on June 15, 2021</w:t>
      </w:r>
      <w:r>
        <w:rPr>
          <w:bCs/>
        </w:rPr>
        <w:t xml:space="preserve"> and as subsequently modified on July 21, 2021</w:t>
      </w:r>
      <w:r w:rsidRPr="003D4169">
        <w:rPr>
          <w:bCs/>
        </w:rPr>
        <w:t xml:space="preserve">, is being submitted concurrent with this testimony that contemplates this revision to Unit 3 Commercial Operation. If </w:t>
      </w:r>
      <w:r w:rsidRPr="003D4169">
        <w:rPr>
          <w:bCs/>
        </w:rPr>
        <w:lastRenderedPageBreak/>
        <w:t xml:space="preserve">subsequent changes to the construction schedule further extend the expected Unit 3 Commercial Operation date, the Company will update the </w:t>
      </w:r>
      <w:proofErr w:type="spellStart"/>
      <w:r w:rsidRPr="003D4169">
        <w:rPr>
          <w:bCs/>
        </w:rPr>
        <w:t>MFRs</w:t>
      </w:r>
      <w:proofErr w:type="spellEnd"/>
      <w:r w:rsidRPr="003D4169">
        <w:rPr>
          <w:bCs/>
        </w:rPr>
        <w:t>, as needed.</w:t>
      </w:r>
    </w:p>
    <w:p w14:paraId="157D4D92" w14:textId="77777777" w:rsidR="004B01FE" w:rsidRPr="004B01FE" w:rsidRDefault="004B01FE" w:rsidP="00E22A91">
      <w:pPr>
        <w:pStyle w:val="NormalWeb"/>
        <w:spacing w:before="240" w:line="360" w:lineRule="auto"/>
        <w:ind w:left="720" w:hanging="720"/>
        <w:jc w:val="both"/>
        <w:outlineLvl w:val="0"/>
        <w:rPr>
          <w:b/>
          <w:bCs/>
        </w:rPr>
      </w:pPr>
      <w:r w:rsidRPr="004B01FE">
        <w:rPr>
          <w:b/>
          <w:bCs/>
        </w:rPr>
        <w:t>Q.</w:t>
      </w:r>
      <w:r w:rsidRPr="004B01FE">
        <w:rPr>
          <w:b/>
          <w:bCs/>
        </w:rPr>
        <w:tab/>
        <w:t>HOW HAS THE DELAYED IN-SERVICE DATE FOR VOGTLE UNIT 3 IMPACTED THE COMPANY’S PROJECTED REVENUE REQUIREMENT AND REQUESTED RATE INCREASE IN THIS CASE?</w:t>
      </w:r>
    </w:p>
    <w:p w14:paraId="031597DC" w14:textId="5DCE206F" w:rsidR="004B01FE" w:rsidRDefault="004B01FE" w:rsidP="00AF2F2D">
      <w:pPr>
        <w:pStyle w:val="NormalWeb"/>
        <w:spacing w:line="360" w:lineRule="auto"/>
        <w:ind w:left="720" w:hanging="720"/>
        <w:jc w:val="both"/>
        <w:outlineLvl w:val="0"/>
        <w:rPr>
          <w:bCs/>
        </w:rPr>
      </w:pPr>
      <w:r w:rsidRPr="004B01FE">
        <w:rPr>
          <w:bCs/>
        </w:rPr>
        <w:t>A.</w:t>
      </w:r>
      <w:r w:rsidRPr="004B01FE">
        <w:rPr>
          <w:bCs/>
        </w:rPr>
        <w:tab/>
      </w:r>
      <w:r w:rsidR="00491252">
        <w:rPr>
          <w:bCs/>
        </w:rPr>
        <w:t>As shown in Table 1, t</w:t>
      </w:r>
      <w:r w:rsidRPr="004B01FE">
        <w:rPr>
          <w:bCs/>
        </w:rPr>
        <w:t>he change in the projected annual revenue requirement requested by the Company</w:t>
      </w:r>
      <w:r w:rsidR="00491252">
        <w:rPr>
          <w:bCs/>
        </w:rPr>
        <w:t xml:space="preserve"> between the assumed January 2022 and June 2022 in-service dates</w:t>
      </w:r>
      <w:r w:rsidRPr="004B01FE">
        <w:rPr>
          <w:bCs/>
        </w:rPr>
        <w:t xml:space="preserve"> </w:t>
      </w:r>
      <w:r w:rsidR="00491252">
        <w:rPr>
          <w:bCs/>
        </w:rPr>
        <w:t>would be an increase of 0.2% or $</w:t>
      </w:r>
      <w:r w:rsidR="006E43E9">
        <w:rPr>
          <w:bCs/>
        </w:rPr>
        <w:t>662</w:t>
      </w:r>
      <w:r w:rsidR="00491252">
        <w:rPr>
          <w:bCs/>
        </w:rPr>
        <w:t>,000</w:t>
      </w:r>
      <w:r w:rsidRPr="004B01FE">
        <w:rPr>
          <w:bCs/>
        </w:rPr>
        <w:t xml:space="preserve">. </w:t>
      </w:r>
      <w:r>
        <w:rPr>
          <w:bCs/>
        </w:rPr>
        <w:t xml:space="preserve">Table 1 </w:t>
      </w:r>
      <w:r w:rsidRPr="004B01FE">
        <w:rPr>
          <w:bCs/>
        </w:rPr>
        <w:t xml:space="preserve">presents the Company’s requested annual revenue requirement assuming Unit 3 in-service dates of January, March, and June 2022. </w:t>
      </w:r>
    </w:p>
    <w:p w14:paraId="41315214" w14:textId="2BFDB426" w:rsidR="004B01FE" w:rsidRPr="00E22A91" w:rsidRDefault="004B01FE" w:rsidP="00167947">
      <w:pPr>
        <w:pStyle w:val="NormalWeb"/>
        <w:spacing w:after="0" w:afterAutospacing="0" w:line="360" w:lineRule="auto"/>
        <w:jc w:val="center"/>
        <w:outlineLvl w:val="0"/>
        <w:rPr>
          <w:rFonts w:ascii="Times New Roman Bold" w:hAnsi="Times New Roman Bold" w:hint="eastAsia"/>
          <w:b/>
          <w:smallCaps/>
        </w:rPr>
      </w:pPr>
      <w:r w:rsidRPr="00E22A91">
        <w:rPr>
          <w:rFonts w:ascii="Times New Roman Bold" w:hAnsi="Times New Roman Bold"/>
          <w:b/>
          <w:smallCaps/>
        </w:rPr>
        <w:t>TABLE 1</w:t>
      </w:r>
    </w:p>
    <w:tbl>
      <w:tblPr>
        <w:tblStyle w:val="TableGrid"/>
        <w:tblW w:w="0" w:type="auto"/>
        <w:jc w:val="center"/>
        <w:tblLook w:val="04A0" w:firstRow="1" w:lastRow="0" w:firstColumn="1" w:lastColumn="0" w:noHBand="0" w:noVBand="1"/>
      </w:tblPr>
      <w:tblGrid>
        <w:gridCol w:w="3065"/>
        <w:gridCol w:w="1890"/>
        <w:gridCol w:w="1710"/>
      </w:tblGrid>
      <w:tr w:rsidR="004B01FE" w:rsidRPr="004B01FE" w14:paraId="10B602E8" w14:textId="77777777" w:rsidTr="00167947">
        <w:trPr>
          <w:trHeight w:val="530"/>
          <w:jc w:val="center"/>
        </w:trPr>
        <w:tc>
          <w:tcPr>
            <w:tcW w:w="3065" w:type="dxa"/>
            <w:vAlign w:val="center"/>
          </w:tcPr>
          <w:p w14:paraId="46AC326E" w14:textId="003A553D" w:rsidR="004B01FE" w:rsidRPr="004B01FE" w:rsidRDefault="00DD389E" w:rsidP="00E95B3C">
            <w:pPr>
              <w:pStyle w:val="NormalWeb"/>
              <w:spacing w:before="240"/>
              <w:ind w:left="-19" w:firstLine="19"/>
              <w:outlineLvl w:val="0"/>
              <w:rPr>
                <w:bCs/>
              </w:rPr>
            </w:pPr>
            <w:r w:rsidRPr="004B01FE">
              <w:rPr>
                <w:bCs/>
              </w:rPr>
              <w:t>($ Millions)</w:t>
            </w:r>
          </w:p>
        </w:tc>
        <w:tc>
          <w:tcPr>
            <w:tcW w:w="1890" w:type="dxa"/>
            <w:vAlign w:val="center"/>
          </w:tcPr>
          <w:p w14:paraId="57177229" w14:textId="44122E39" w:rsidR="004B01FE" w:rsidRPr="004B01FE" w:rsidRDefault="004B01FE" w:rsidP="007D22F0">
            <w:pPr>
              <w:pStyle w:val="NormalWeb"/>
              <w:spacing w:before="240"/>
              <w:ind w:left="-19" w:firstLine="19"/>
              <w:jc w:val="center"/>
              <w:outlineLvl w:val="0"/>
              <w:rPr>
                <w:bCs/>
              </w:rPr>
            </w:pPr>
            <w:r w:rsidRPr="004B01FE">
              <w:rPr>
                <w:bCs/>
              </w:rPr>
              <w:t>Revenue</w:t>
            </w:r>
            <w:r>
              <w:rPr>
                <w:bCs/>
              </w:rPr>
              <w:t xml:space="preserve"> </w:t>
            </w:r>
            <w:r w:rsidRPr="004B01FE">
              <w:rPr>
                <w:bCs/>
              </w:rPr>
              <w:t>Requirement</w:t>
            </w:r>
          </w:p>
        </w:tc>
        <w:tc>
          <w:tcPr>
            <w:tcW w:w="1710" w:type="dxa"/>
            <w:vAlign w:val="center"/>
          </w:tcPr>
          <w:p w14:paraId="7F30DDB2" w14:textId="398F5990" w:rsidR="004B01FE" w:rsidRPr="004B01FE" w:rsidRDefault="004B01FE" w:rsidP="007D22F0">
            <w:pPr>
              <w:pStyle w:val="NormalWeb"/>
              <w:spacing w:before="240"/>
              <w:ind w:left="-19" w:firstLine="19"/>
              <w:jc w:val="center"/>
              <w:outlineLvl w:val="0"/>
              <w:rPr>
                <w:bCs/>
              </w:rPr>
            </w:pPr>
            <w:r>
              <w:rPr>
                <w:bCs/>
              </w:rPr>
              <w:t>I</w:t>
            </w:r>
            <w:r w:rsidRPr="004B01FE">
              <w:rPr>
                <w:bCs/>
              </w:rPr>
              <w:t>ncrease</w:t>
            </w:r>
          </w:p>
        </w:tc>
      </w:tr>
      <w:tr w:rsidR="004B01FE" w:rsidRPr="004B01FE" w14:paraId="2D65EC9F" w14:textId="77777777" w:rsidTr="00AF2F2D">
        <w:trPr>
          <w:jc w:val="center"/>
        </w:trPr>
        <w:tc>
          <w:tcPr>
            <w:tcW w:w="3065" w:type="dxa"/>
          </w:tcPr>
          <w:p w14:paraId="319A40E5" w14:textId="462AF213" w:rsidR="004B01FE" w:rsidRPr="004B01FE" w:rsidRDefault="004B01FE" w:rsidP="00E22A91">
            <w:pPr>
              <w:pStyle w:val="NormalWeb"/>
              <w:spacing w:before="240"/>
              <w:ind w:left="-19" w:firstLine="19"/>
              <w:outlineLvl w:val="0"/>
              <w:rPr>
                <w:bCs/>
              </w:rPr>
            </w:pPr>
            <w:r w:rsidRPr="004B01FE">
              <w:rPr>
                <w:bCs/>
              </w:rPr>
              <w:t>Application</w:t>
            </w:r>
            <w:r>
              <w:rPr>
                <w:bCs/>
              </w:rPr>
              <w:t xml:space="preserve"> </w:t>
            </w:r>
            <w:r w:rsidRPr="004B01FE">
              <w:rPr>
                <w:bCs/>
              </w:rPr>
              <w:br/>
              <w:t>January 2022 In</w:t>
            </w:r>
            <w:r w:rsidR="00E95B3C">
              <w:rPr>
                <w:bCs/>
              </w:rPr>
              <w:t>-</w:t>
            </w:r>
            <w:r w:rsidRPr="004B01FE">
              <w:rPr>
                <w:bCs/>
              </w:rPr>
              <w:t>Service Date</w:t>
            </w:r>
          </w:p>
        </w:tc>
        <w:tc>
          <w:tcPr>
            <w:tcW w:w="1890" w:type="dxa"/>
            <w:vAlign w:val="center"/>
          </w:tcPr>
          <w:p w14:paraId="0BEF661D" w14:textId="77777777" w:rsidR="004B01FE" w:rsidRPr="004B01FE" w:rsidRDefault="004B01FE" w:rsidP="007D22F0">
            <w:pPr>
              <w:pStyle w:val="NormalWeb"/>
              <w:spacing w:before="240"/>
              <w:ind w:left="-19" w:firstLine="19"/>
              <w:jc w:val="center"/>
              <w:outlineLvl w:val="0"/>
              <w:rPr>
                <w:bCs/>
              </w:rPr>
            </w:pPr>
            <w:r w:rsidRPr="004B01FE">
              <w:rPr>
                <w:bCs/>
              </w:rPr>
              <w:t>$369.058</w:t>
            </w:r>
          </w:p>
        </w:tc>
        <w:tc>
          <w:tcPr>
            <w:tcW w:w="1710" w:type="dxa"/>
            <w:vAlign w:val="center"/>
          </w:tcPr>
          <w:p w14:paraId="7A2D0D58" w14:textId="77777777" w:rsidR="004B01FE" w:rsidRPr="004B01FE" w:rsidRDefault="004B01FE" w:rsidP="007D22F0">
            <w:pPr>
              <w:pStyle w:val="NormalWeb"/>
              <w:spacing w:before="240"/>
              <w:ind w:left="-19" w:firstLine="19"/>
              <w:jc w:val="center"/>
              <w:outlineLvl w:val="0"/>
              <w:rPr>
                <w:bCs/>
              </w:rPr>
            </w:pPr>
          </w:p>
        </w:tc>
      </w:tr>
      <w:tr w:rsidR="004B01FE" w:rsidRPr="004B01FE" w14:paraId="0237578F" w14:textId="77777777" w:rsidTr="00AF2F2D">
        <w:trPr>
          <w:jc w:val="center"/>
        </w:trPr>
        <w:tc>
          <w:tcPr>
            <w:tcW w:w="3065" w:type="dxa"/>
          </w:tcPr>
          <w:p w14:paraId="3A3348C8" w14:textId="1E2C7C63" w:rsidR="004B01FE" w:rsidRPr="004B01FE" w:rsidRDefault="004B01FE" w:rsidP="00E22A91">
            <w:pPr>
              <w:pStyle w:val="NormalWeb"/>
              <w:spacing w:before="240"/>
              <w:ind w:left="-19" w:firstLine="19"/>
              <w:outlineLvl w:val="0"/>
              <w:rPr>
                <w:bCs/>
              </w:rPr>
            </w:pPr>
            <w:r w:rsidRPr="004B01FE">
              <w:rPr>
                <w:bCs/>
              </w:rPr>
              <w:t>Direct Testimony</w:t>
            </w:r>
            <w:r w:rsidRPr="004B01FE">
              <w:rPr>
                <w:bCs/>
              </w:rPr>
              <w:br/>
              <w:t>March 2022 In</w:t>
            </w:r>
            <w:r w:rsidR="00E95B3C">
              <w:rPr>
                <w:bCs/>
              </w:rPr>
              <w:t>-</w:t>
            </w:r>
            <w:r w:rsidRPr="004B01FE">
              <w:rPr>
                <w:bCs/>
              </w:rPr>
              <w:t>Service Date</w:t>
            </w:r>
          </w:p>
        </w:tc>
        <w:tc>
          <w:tcPr>
            <w:tcW w:w="1890" w:type="dxa"/>
            <w:vAlign w:val="center"/>
          </w:tcPr>
          <w:p w14:paraId="1C95FCAE" w14:textId="77777777" w:rsidR="004B01FE" w:rsidRPr="004B01FE" w:rsidRDefault="004B01FE" w:rsidP="007D22F0">
            <w:pPr>
              <w:pStyle w:val="NormalWeb"/>
              <w:spacing w:before="240"/>
              <w:ind w:left="-19" w:firstLine="19"/>
              <w:jc w:val="center"/>
              <w:outlineLvl w:val="0"/>
              <w:rPr>
                <w:bCs/>
              </w:rPr>
            </w:pPr>
            <w:r w:rsidRPr="004B01FE">
              <w:rPr>
                <w:bCs/>
              </w:rPr>
              <w:t>$369.707</w:t>
            </w:r>
          </w:p>
        </w:tc>
        <w:tc>
          <w:tcPr>
            <w:tcW w:w="1710" w:type="dxa"/>
            <w:vAlign w:val="center"/>
          </w:tcPr>
          <w:p w14:paraId="6CD9FFCD" w14:textId="77777777" w:rsidR="004B01FE" w:rsidRPr="004B01FE" w:rsidRDefault="004B01FE" w:rsidP="007D22F0">
            <w:pPr>
              <w:pStyle w:val="NormalWeb"/>
              <w:spacing w:before="240"/>
              <w:ind w:left="-19" w:firstLine="19"/>
              <w:jc w:val="center"/>
              <w:outlineLvl w:val="0"/>
              <w:rPr>
                <w:bCs/>
              </w:rPr>
            </w:pPr>
            <w:r w:rsidRPr="004B01FE">
              <w:rPr>
                <w:bCs/>
              </w:rPr>
              <w:t>$0.649</w:t>
            </w:r>
          </w:p>
        </w:tc>
      </w:tr>
      <w:tr w:rsidR="004B01FE" w:rsidRPr="004B01FE" w14:paraId="5DA771E5" w14:textId="77777777" w:rsidTr="00AF2F2D">
        <w:trPr>
          <w:jc w:val="center"/>
        </w:trPr>
        <w:tc>
          <w:tcPr>
            <w:tcW w:w="3065" w:type="dxa"/>
          </w:tcPr>
          <w:p w14:paraId="2026B4A2" w14:textId="4431875C" w:rsidR="004B01FE" w:rsidRPr="004B01FE" w:rsidRDefault="004B01FE" w:rsidP="00E22A91">
            <w:pPr>
              <w:pStyle w:val="NormalWeb"/>
              <w:spacing w:before="240"/>
              <w:ind w:left="-19" w:firstLine="19"/>
              <w:outlineLvl w:val="0"/>
              <w:rPr>
                <w:bCs/>
              </w:rPr>
            </w:pPr>
            <w:r w:rsidRPr="004B01FE">
              <w:rPr>
                <w:bCs/>
              </w:rPr>
              <w:t>Rebuttal Testimony</w:t>
            </w:r>
            <w:r w:rsidRPr="004B01FE">
              <w:rPr>
                <w:bCs/>
              </w:rPr>
              <w:br/>
              <w:t>June 2022 In</w:t>
            </w:r>
            <w:r w:rsidR="00E95B3C">
              <w:rPr>
                <w:bCs/>
              </w:rPr>
              <w:t>-</w:t>
            </w:r>
            <w:r w:rsidRPr="004B01FE">
              <w:rPr>
                <w:bCs/>
              </w:rPr>
              <w:t>Service Date</w:t>
            </w:r>
          </w:p>
        </w:tc>
        <w:tc>
          <w:tcPr>
            <w:tcW w:w="1890" w:type="dxa"/>
            <w:vAlign w:val="center"/>
          </w:tcPr>
          <w:p w14:paraId="171309D5" w14:textId="77777777" w:rsidR="004B01FE" w:rsidRPr="004B01FE" w:rsidRDefault="004B01FE" w:rsidP="007D22F0">
            <w:pPr>
              <w:pStyle w:val="NormalWeb"/>
              <w:spacing w:before="240"/>
              <w:ind w:left="-19" w:firstLine="19"/>
              <w:jc w:val="center"/>
              <w:outlineLvl w:val="0"/>
              <w:rPr>
                <w:bCs/>
              </w:rPr>
            </w:pPr>
            <w:r w:rsidRPr="004B01FE">
              <w:rPr>
                <w:bCs/>
              </w:rPr>
              <w:t>$369.720</w:t>
            </w:r>
          </w:p>
        </w:tc>
        <w:tc>
          <w:tcPr>
            <w:tcW w:w="1710" w:type="dxa"/>
            <w:vAlign w:val="center"/>
          </w:tcPr>
          <w:p w14:paraId="7EFD7CBE" w14:textId="77777777" w:rsidR="004B01FE" w:rsidRPr="004B01FE" w:rsidRDefault="004B01FE" w:rsidP="007D22F0">
            <w:pPr>
              <w:pStyle w:val="NormalWeb"/>
              <w:spacing w:before="240"/>
              <w:ind w:left="-19" w:firstLine="19"/>
              <w:jc w:val="center"/>
              <w:outlineLvl w:val="0"/>
              <w:rPr>
                <w:bCs/>
              </w:rPr>
            </w:pPr>
            <w:r w:rsidRPr="004B01FE">
              <w:rPr>
                <w:bCs/>
              </w:rPr>
              <w:t>$0.013</w:t>
            </w:r>
          </w:p>
        </w:tc>
      </w:tr>
    </w:tbl>
    <w:p w14:paraId="52F7F822" w14:textId="3893C47F" w:rsidR="007E53A1" w:rsidRPr="005F19CB" w:rsidRDefault="007E53A1" w:rsidP="00167947">
      <w:pPr>
        <w:pStyle w:val="NormalWeb"/>
        <w:spacing w:before="360" w:beforeAutospacing="0" w:after="240" w:afterAutospacing="0" w:line="360" w:lineRule="auto"/>
        <w:ind w:left="720" w:hanging="720"/>
        <w:jc w:val="both"/>
        <w:outlineLvl w:val="0"/>
        <w:rPr>
          <w:b/>
        </w:rPr>
      </w:pPr>
      <w:r w:rsidRPr="005F19CB">
        <w:rPr>
          <w:b/>
        </w:rPr>
        <w:t>Q.</w:t>
      </w:r>
      <w:r w:rsidRPr="005F19CB">
        <w:rPr>
          <w:b/>
        </w:rPr>
        <w:tab/>
        <w:t>WHAT IS THE PURPOSE OF YOUR</w:t>
      </w:r>
      <w:r w:rsidR="00031A62">
        <w:rPr>
          <w:b/>
        </w:rPr>
        <w:t xml:space="preserve"> REBUTTAL</w:t>
      </w:r>
      <w:r w:rsidRPr="005F19CB">
        <w:rPr>
          <w:b/>
        </w:rPr>
        <w:t xml:space="preserve"> TESTIMONY?</w:t>
      </w:r>
    </w:p>
    <w:p w14:paraId="30678955" w14:textId="1551D159" w:rsidR="00031A62" w:rsidRDefault="007E53A1" w:rsidP="00F36CA0">
      <w:pPr>
        <w:tabs>
          <w:tab w:val="left" w:pos="2520"/>
        </w:tabs>
        <w:spacing w:after="240" w:line="360" w:lineRule="auto"/>
        <w:ind w:left="720" w:hanging="720"/>
        <w:jc w:val="both"/>
      </w:pPr>
      <w:r w:rsidRPr="005F19CB">
        <w:t>A.</w:t>
      </w:r>
      <w:r w:rsidRPr="005F19CB">
        <w:tab/>
        <w:t xml:space="preserve">The purpose of our testimony is to </w:t>
      </w:r>
      <w:r w:rsidR="00031A62">
        <w:t>respond to the positions taken and recommendations made by the Georgia Public Service Commission’s (“Commission”) Public Interest Advocacy (“PIA”) Staff, Georgia Association of Manufacturing</w:t>
      </w:r>
      <w:r w:rsidR="00A57B8A">
        <w:t xml:space="preserve"> (“GAM”)</w:t>
      </w:r>
      <w:r w:rsidR="00E95B3C">
        <w:t>,</w:t>
      </w:r>
      <w:r w:rsidR="00031A62">
        <w:t xml:space="preserve"> and</w:t>
      </w:r>
      <w:r w:rsidR="00A57B8A">
        <w:t xml:space="preserve"> the Metro</w:t>
      </w:r>
      <w:r w:rsidR="007A6F1C">
        <w:t>politan</w:t>
      </w:r>
      <w:r w:rsidR="00A57B8A">
        <w:t xml:space="preserve"> Atlanta Rapid Transit Authority</w:t>
      </w:r>
      <w:r w:rsidR="00031A62">
        <w:t xml:space="preserve"> </w:t>
      </w:r>
      <w:r w:rsidR="00BD120B">
        <w:t>(“</w:t>
      </w:r>
      <w:r w:rsidR="00031A62">
        <w:t>MARTA</w:t>
      </w:r>
      <w:r w:rsidR="00BD120B">
        <w:t>”)</w:t>
      </w:r>
      <w:r w:rsidR="00031A62">
        <w:t xml:space="preserve">. It is important to note, however, that </w:t>
      </w:r>
      <w:r w:rsidR="00345DF9">
        <w:t>to the extent</w:t>
      </w:r>
      <w:r w:rsidR="00031A62">
        <w:t xml:space="preserve"> a particular PIA Staff or Intervenor recommendation </w:t>
      </w:r>
      <w:r w:rsidR="00345DF9">
        <w:t>is not specifically addressed in this rebuttal testimony, that</w:t>
      </w:r>
      <w:r w:rsidR="007F732E">
        <w:t xml:space="preserve"> </w:t>
      </w:r>
      <w:r w:rsidR="00031A62">
        <w:t xml:space="preserve">should not be construed as support for such position. </w:t>
      </w:r>
    </w:p>
    <w:p w14:paraId="5AA0B2B4" w14:textId="12B2E66E" w:rsidR="00006F12" w:rsidRDefault="007E53A1" w:rsidP="00167947">
      <w:pPr>
        <w:pStyle w:val="BodyText"/>
        <w:keepNext/>
        <w:spacing w:before="0" w:after="240" w:line="360" w:lineRule="auto"/>
        <w:ind w:left="720" w:hanging="720"/>
        <w:rPr>
          <w:b/>
        </w:rPr>
      </w:pPr>
      <w:r w:rsidRPr="00ED2B97">
        <w:rPr>
          <w:b/>
        </w:rPr>
        <w:lastRenderedPageBreak/>
        <w:t>Q.</w:t>
      </w:r>
      <w:r w:rsidRPr="00ED2B97">
        <w:rPr>
          <w:b/>
        </w:rPr>
        <w:tab/>
        <w:t>PLEASE SUMMARIZE</w:t>
      </w:r>
      <w:r>
        <w:rPr>
          <w:b/>
        </w:rPr>
        <w:t xml:space="preserve"> </w:t>
      </w:r>
      <w:r w:rsidR="00031A62">
        <w:rPr>
          <w:b/>
        </w:rPr>
        <w:t xml:space="preserve">YOUR TESTIMONY. </w:t>
      </w:r>
    </w:p>
    <w:p w14:paraId="0E08A492" w14:textId="27D58855" w:rsidR="000D4074" w:rsidRDefault="00031A62" w:rsidP="00167947">
      <w:pPr>
        <w:pStyle w:val="BodyText"/>
        <w:keepNext/>
        <w:spacing w:before="0" w:after="240" w:line="360" w:lineRule="auto"/>
        <w:ind w:left="720" w:hanging="720"/>
        <w:rPr>
          <w:bCs/>
        </w:rPr>
      </w:pPr>
      <w:r w:rsidRPr="00031A62">
        <w:rPr>
          <w:bCs/>
        </w:rPr>
        <w:t>A.</w:t>
      </w:r>
      <w:r w:rsidRPr="00031A62">
        <w:rPr>
          <w:bCs/>
        </w:rPr>
        <w:tab/>
      </w:r>
      <w:r w:rsidR="00345DF9">
        <w:rPr>
          <w:bCs/>
        </w:rPr>
        <w:t>In this proceeding, t</w:t>
      </w:r>
      <w:r w:rsidR="000D4074">
        <w:rPr>
          <w:bCs/>
        </w:rPr>
        <w:t xml:space="preserve">he ultimate issue before the Commission is how </w:t>
      </w:r>
      <w:r w:rsidR="00707D71">
        <w:rPr>
          <w:bCs/>
        </w:rPr>
        <w:t>Georgia Power’s</w:t>
      </w:r>
      <w:r w:rsidR="000D4074">
        <w:rPr>
          <w:bCs/>
        </w:rPr>
        <w:t xml:space="preserve"> rates</w:t>
      </w:r>
      <w:r w:rsidR="00707D71">
        <w:rPr>
          <w:bCs/>
        </w:rPr>
        <w:t xml:space="preserve"> should be adjusted</w:t>
      </w:r>
      <w:r w:rsidR="000D4074">
        <w:rPr>
          <w:bCs/>
        </w:rPr>
        <w:t xml:space="preserve"> </w:t>
      </w:r>
      <w:r w:rsidR="000D0E61">
        <w:rPr>
          <w:bCs/>
        </w:rPr>
        <w:t xml:space="preserve">following Unit 3 </w:t>
      </w:r>
      <w:r w:rsidR="00EE1AE8">
        <w:rPr>
          <w:bCs/>
        </w:rPr>
        <w:t xml:space="preserve">reaching </w:t>
      </w:r>
      <w:r w:rsidR="000D0E61">
        <w:rPr>
          <w:bCs/>
        </w:rPr>
        <w:t xml:space="preserve">Commercial Operation </w:t>
      </w:r>
      <w:r w:rsidR="000D4074">
        <w:rPr>
          <w:bCs/>
        </w:rPr>
        <w:t>to recover</w:t>
      </w:r>
      <w:r w:rsidR="000D0E61">
        <w:rPr>
          <w:bCs/>
        </w:rPr>
        <w:t xml:space="preserve"> the Unit 3 and Common portion of the costs previously deemed prudent in the Commission’s </w:t>
      </w:r>
      <w:r w:rsidR="000D0E61">
        <w:t>January 3, 2017 Supplemental Information Review (“SIR”) Order Adopting Stipulation in Docket No. 29849 (“SIR Order”).</w:t>
      </w:r>
      <w:r w:rsidR="00345DF9">
        <w:t xml:space="preserve"> </w:t>
      </w:r>
      <w:r w:rsidR="00E95B3C">
        <w:t>C</w:t>
      </w:r>
      <w:r w:rsidR="00345DF9">
        <w:t>onsistent with the Commission’s January 11, 2018 Order on the Seventeenth Semi-Annual Vogtle Construction Monitoring (“VCM”) Report in Docket No. 29849</w:t>
      </w:r>
      <w:r w:rsidR="00CC0F61">
        <w:t xml:space="preserve"> (“VCM 17 Order”)</w:t>
      </w:r>
      <w:r w:rsidR="00345DF9">
        <w:t xml:space="preserve">, </w:t>
      </w:r>
      <w:r w:rsidR="00E95B3C">
        <w:t xml:space="preserve">the Company requests that </w:t>
      </w:r>
      <w:r w:rsidR="00345DF9">
        <w:t>$2.</w:t>
      </w:r>
      <w:r w:rsidR="00B53EBB">
        <w:t>4</w:t>
      </w:r>
      <w:r w:rsidR="00345DF9">
        <w:t xml:space="preserve"> billion of capital costs be transferred into base rates following Unit 3 Commercial Operation</w:t>
      </w:r>
      <w:r w:rsidR="00491252">
        <w:t>. This, along with the inclusion of costs to operate the plant</w:t>
      </w:r>
      <w:r w:rsidR="00811DD6">
        <w:t>, results in a $</w:t>
      </w:r>
      <w:r w:rsidR="00DD389E">
        <w:t xml:space="preserve">370 </w:t>
      </w:r>
      <w:r w:rsidR="00811DD6">
        <w:t xml:space="preserve">million annual adjustment to base rates. </w:t>
      </w:r>
      <w:r w:rsidR="00707D71">
        <w:t>The</w:t>
      </w:r>
      <w:r w:rsidR="006E7AC2">
        <w:t xml:space="preserve"> Company</w:t>
      </w:r>
      <w:r w:rsidR="00224097">
        <w:t xml:space="preserve"> and PIA Staff disagree on the interpretation of the VCM 17 Order and disagree on how to address several ancillary issues </w:t>
      </w:r>
      <w:r w:rsidR="00811DD6">
        <w:t xml:space="preserve">on </w:t>
      </w:r>
      <w:r w:rsidR="00224097">
        <w:t xml:space="preserve">which the VCM 17 Order </w:t>
      </w:r>
      <w:r w:rsidR="007F732E">
        <w:t>was</w:t>
      </w:r>
      <w:r w:rsidR="00224097">
        <w:t xml:space="preserve"> silent.</w:t>
      </w:r>
    </w:p>
    <w:p w14:paraId="743EB44B" w14:textId="69060786" w:rsidR="00031A62" w:rsidRDefault="0071294D" w:rsidP="00F36CA0">
      <w:pPr>
        <w:pStyle w:val="BodyText"/>
        <w:spacing w:before="0" w:after="240" w:line="360" w:lineRule="auto"/>
        <w:ind w:left="720" w:firstLine="0"/>
      </w:pPr>
      <w:r>
        <w:rPr>
          <w:bCs/>
        </w:rPr>
        <w:t xml:space="preserve">There are </w:t>
      </w:r>
      <w:r w:rsidR="001A11D7">
        <w:rPr>
          <w:bCs/>
        </w:rPr>
        <w:t xml:space="preserve">three </w:t>
      </w:r>
      <w:r>
        <w:rPr>
          <w:bCs/>
        </w:rPr>
        <w:t xml:space="preserve">primary </w:t>
      </w:r>
      <w:r w:rsidR="000D0E61">
        <w:rPr>
          <w:bCs/>
        </w:rPr>
        <w:t>issues</w:t>
      </w:r>
      <w:r>
        <w:rPr>
          <w:bCs/>
        </w:rPr>
        <w:t xml:space="preserve"> that make up the difference between the Company and </w:t>
      </w:r>
      <w:r w:rsidR="00F568BB">
        <w:rPr>
          <w:bCs/>
        </w:rPr>
        <w:t>PIA</w:t>
      </w:r>
      <w:r>
        <w:rPr>
          <w:bCs/>
        </w:rPr>
        <w:t xml:space="preserve"> Staff’s calculations of the adjustment to base rates once Unit 3 achieves </w:t>
      </w:r>
      <w:r w:rsidR="000D0E61">
        <w:rPr>
          <w:bCs/>
        </w:rPr>
        <w:t>C</w:t>
      </w:r>
      <w:r>
        <w:rPr>
          <w:bCs/>
        </w:rPr>
        <w:t xml:space="preserve">ommercial </w:t>
      </w:r>
      <w:r w:rsidR="000D0E61">
        <w:rPr>
          <w:bCs/>
        </w:rPr>
        <w:t>O</w:t>
      </w:r>
      <w:r>
        <w:rPr>
          <w:bCs/>
        </w:rPr>
        <w:t xml:space="preserve">peration. First, the Company and </w:t>
      </w:r>
      <w:r w:rsidR="002E7445">
        <w:rPr>
          <w:bCs/>
        </w:rPr>
        <w:t xml:space="preserve">PIA </w:t>
      </w:r>
      <w:r>
        <w:rPr>
          <w:bCs/>
        </w:rPr>
        <w:t xml:space="preserve">Staff differ </w:t>
      </w:r>
      <w:r w:rsidR="00343A33">
        <w:rPr>
          <w:bCs/>
        </w:rPr>
        <w:t xml:space="preserve">on </w:t>
      </w:r>
      <w:r w:rsidR="00E95B3C">
        <w:rPr>
          <w:bCs/>
        </w:rPr>
        <w:t>treatment</w:t>
      </w:r>
      <w:r>
        <w:rPr>
          <w:bCs/>
        </w:rPr>
        <w:t xml:space="preserve"> of the Toshiba Parent Guarant</w:t>
      </w:r>
      <w:r w:rsidR="00343A33">
        <w:rPr>
          <w:bCs/>
        </w:rPr>
        <w:t>y</w:t>
      </w:r>
      <w:r>
        <w:rPr>
          <w:bCs/>
        </w:rPr>
        <w:t xml:space="preserve"> </w:t>
      </w:r>
      <w:r w:rsidR="00E036FC">
        <w:rPr>
          <w:bCs/>
        </w:rPr>
        <w:t>(“</w:t>
      </w:r>
      <w:proofErr w:type="spellStart"/>
      <w:r w:rsidR="00E036FC">
        <w:rPr>
          <w:bCs/>
        </w:rPr>
        <w:t>TPG</w:t>
      </w:r>
      <w:proofErr w:type="spellEnd"/>
      <w:r w:rsidR="00E036FC">
        <w:rPr>
          <w:bCs/>
        </w:rPr>
        <w:t>”) p</w:t>
      </w:r>
      <w:r>
        <w:rPr>
          <w:bCs/>
        </w:rPr>
        <w:t xml:space="preserve">ayment </w:t>
      </w:r>
      <w:r w:rsidR="00343A33">
        <w:rPr>
          <w:bCs/>
        </w:rPr>
        <w:t>as directed by</w:t>
      </w:r>
      <w:r w:rsidR="00F568BB">
        <w:rPr>
          <w:bCs/>
        </w:rPr>
        <w:t xml:space="preserve"> the </w:t>
      </w:r>
      <w:r w:rsidR="00F568BB">
        <w:t>Commission</w:t>
      </w:r>
      <w:r w:rsidR="00224097">
        <w:t xml:space="preserve"> in the</w:t>
      </w:r>
      <w:r w:rsidR="00F568BB">
        <w:t xml:space="preserve"> VCM 17 Order. PIA Staff</w:t>
      </w:r>
      <w:r w:rsidR="00FF24C6">
        <w:t xml:space="preserve"> </w:t>
      </w:r>
      <w:r w:rsidR="00811DD6">
        <w:t xml:space="preserve">claims that </w:t>
      </w:r>
      <w:r w:rsidR="00FF24C6">
        <w:t>the capital cost deemed prudent in the SIR Order</w:t>
      </w:r>
      <w:r w:rsidR="00F568BB">
        <w:t xml:space="preserve"> </w:t>
      </w:r>
      <w:r w:rsidR="00707D71">
        <w:t xml:space="preserve">attributable </w:t>
      </w:r>
      <w:r w:rsidR="00FF24C6">
        <w:t xml:space="preserve">to </w:t>
      </w:r>
      <w:r w:rsidR="00F568BB">
        <w:t xml:space="preserve">Unit 3 and Common </w:t>
      </w:r>
      <w:r w:rsidR="00224097">
        <w:t>f</w:t>
      </w:r>
      <w:r w:rsidR="00F568BB">
        <w:t>acilities</w:t>
      </w:r>
      <w:r w:rsidR="006E7AC2">
        <w:t xml:space="preserve"> </w:t>
      </w:r>
      <w:r w:rsidR="00FF24C6">
        <w:t xml:space="preserve">should be reduced by </w:t>
      </w:r>
      <w:r w:rsidR="00F568BB">
        <w:t xml:space="preserve">a portion </w:t>
      </w:r>
      <w:r w:rsidR="002E7445">
        <w:t xml:space="preserve">of the </w:t>
      </w:r>
      <w:proofErr w:type="spellStart"/>
      <w:r w:rsidR="002E7445">
        <w:t>TPG</w:t>
      </w:r>
      <w:proofErr w:type="spellEnd"/>
      <w:r w:rsidR="002E7445">
        <w:t>.</w:t>
      </w:r>
      <w:r w:rsidR="000D4074">
        <w:t xml:space="preserve"> </w:t>
      </w:r>
      <w:r w:rsidR="00811DD6">
        <w:t xml:space="preserve">However, </w:t>
      </w:r>
      <w:r w:rsidR="00E95B3C">
        <w:t xml:space="preserve">the </w:t>
      </w:r>
      <w:r w:rsidR="00491252">
        <w:t xml:space="preserve">Commission previously applied the </w:t>
      </w:r>
      <w:proofErr w:type="spellStart"/>
      <w:r w:rsidR="00E95B3C">
        <w:t>TPG</w:t>
      </w:r>
      <w:proofErr w:type="spellEnd"/>
      <w:r w:rsidR="00E95B3C">
        <w:t xml:space="preserve"> to reduce the approve</w:t>
      </w:r>
      <w:r w:rsidR="007A4BEB">
        <w:t>d</w:t>
      </w:r>
      <w:r w:rsidR="00E95B3C">
        <w:t xml:space="preserve"> cost forecast of Vogtle Units 3 and 4 (“Project”)</w:t>
      </w:r>
      <w:r w:rsidR="00491252">
        <w:t xml:space="preserve"> to $7.3 billion. Consistent with the VCM 17 Order instructions</w:t>
      </w:r>
      <w:r w:rsidR="00E95B3C">
        <w:t xml:space="preserve">, </w:t>
      </w:r>
      <w:r w:rsidR="00811DD6">
        <w:t>the Company</w:t>
      </w:r>
      <w:r w:rsidR="00EE1AE8" w:rsidRPr="00EE1AE8">
        <w:t xml:space="preserve"> reduced the Construction Work in Progress (“</w:t>
      </w:r>
      <w:proofErr w:type="spellStart"/>
      <w:r w:rsidR="00EE1AE8" w:rsidRPr="00EE1AE8">
        <w:t>CWIP</w:t>
      </w:r>
      <w:proofErr w:type="spellEnd"/>
      <w:r w:rsidR="00EE1AE8" w:rsidRPr="00EE1AE8">
        <w:t>”) balance</w:t>
      </w:r>
      <w:r w:rsidR="00E95B3C">
        <w:t xml:space="preserve"> by the </w:t>
      </w:r>
      <w:proofErr w:type="spellStart"/>
      <w:r w:rsidR="00E95B3C">
        <w:t>TPG</w:t>
      </w:r>
      <w:proofErr w:type="spellEnd"/>
      <w:r w:rsidR="00E95B3C">
        <w:t xml:space="preserve"> amounts, and</w:t>
      </w:r>
      <w:r w:rsidR="00EE1AE8" w:rsidRPr="00EE1AE8">
        <w:t xml:space="preserve"> customers</w:t>
      </w:r>
      <w:r w:rsidR="00E95B3C">
        <w:t xml:space="preserve"> were </w:t>
      </w:r>
      <w:r w:rsidR="00A90CC7">
        <w:t>given</w:t>
      </w:r>
      <w:r w:rsidR="00E95B3C">
        <w:t xml:space="preserve"> refunds with part of the </w:t>
      </w:r>
      <w:proofErr w:type="spellStart"/>
      <w:r w:rsidR="00E95B3C">
        <w:t>TPG</w:t>
      </w:r>
      <w:proofErr w:type="spellEnd"/>
      <w:r w:rsidR="00E95B3C">
        <w:t xml:space="preserve"> proceeds. As such</w:t>
      </w:r>
      <w:r w:rsidR="00811DD6">
        <w:t>,</w:t>
      </w:r>
      <w:r w:rsidR="00EE1AE8" w:rsidRPr="00EE1AE8">
        <w:t xml:space="preserve"> the </w:t>
      </w:r>
      <w:proofErr w:type="spellStart"/>
      <w:r w:rsidR="00EE1AE8" w:rsidRPr="00EE1AE8">
        <w:t>TPG</w:t>
      </w:r>
      <w:proofErr w:type="spellEnd"/>
      <w:r w:rsidR="007A4BEB">
        <w:t xml:space="preserve"> has already been fully applied as directed by the Commission and</w:t>
      </w:r>
      <w:r w:rsidR="00EE1AE8" w:rsidRPr="00EE1AE8">
        <w:t xml:space="preserve"> should</w:t>
      </w:r>
      <w:r w:rsidR="000E5288">
        <w:t xml:space="preserve"> </w:t>
      </w:r>
      <w:r w:rsidR="00811DD6">
        <w:t>have no</w:t>
      </w:r>
      <w:r w:rsidR="00EE1AE8" w:rsidRPr="00EE1AE8">
        <w:t xml:space="preserve"> </w:t>
      </w:r>
      <w:r w:rsidR="00491252">
        <w:t xml:space="preserve">further </w:t>
      </w:r>
      <w:r w:rsidR="00EE1AE8" w:rsidRPr="00EE1AE8">
        <w:t>impact</w:t>
      </w:r>
      <w:r w:rsidR="00811DD6">
        <w:t xml:space="preserve"> on</w:t>
      </w:r>
      <w:r w:rsidR="00EE1AE8" w:rsidRPr="00EE1AE8">
        <w:t xml:space="preserve"> the Unit 3 rate adjustment</w:t>
      </w:r>
      <w:r w:rsidR="00707D71">
        <w:t>.</w:t>
      </w:r>
      <w:r w:rsidR="000D4074">
        <w:t xml:space="preserve"> </w:t>
      </w:r>
    </w:p>
    <w:p w14:paraId="02AB8A32" w14:textId="632E2E80" w:rsidR="002E7445" w:rsidRDefault="002E7445" w:rsidP="00F36CA0">
      <w:pPr>
        <w:pStyle w:val="BodyText"/>
        <w:spacing w:before="0" w:after="240" w:line="360" w:lineRule="auto"/>
        <w:ind w:left="720" w:hanging="720"/>
        <w:rPr>
          <w:bCs/>
        </w:rPr>
      </w:pPr>
      <w:r>
        <w:rPr>
          <w:bCs/>
        </w:rPr>
        <w:tab/>
        <w:t xml:space="preserve">Second, </w:t>
      </w:r>
      <w:r w:rsidR="000C7884">
        <w:rPr>
          <w:bCs/>
        </w:rPr>
        <w:t xml:space="preserve">the Company and PIA Staff </w:t>
      </w:r>
      <w:r w:rsidR="00DF1BC6">
        <w:rPr>
          <w:bCs/>
        </w:rPr>
        <w:t xml:space="preserve">disagree </w:t>
      </w:r>
      <w:r w:rsidR="008A6E4D">
        <w:rPr>
          <w:bCs/>
        </w:rPr>
        <w:t>on the Company’s proposed recovery of</w:t>
      </w:r>
      <w:r w:rsidR="00DF1BC6">
        <w:rPr>
          <w:bCs/>
        </w:rPr>
        <w:t xml:space="preserve"> </w:t>
      </w:r>
      <w:r w:rsidR="00C32FAE">
        <w:rPr>
          <w:rFonts w:eastAsia="MS Mincho"/>
          <w:szCs w:val="20"/>
          <w:lang w:eastAsia="en-US"/>
        </w:rPr>
        <w:t>net operating costs related to Unit 3 and Common facilities</w:t>
      </w:r>
      <w:r w:rsidR="00707D71">
        <w:rPr>
          <w:rFonts w:eastAsia="MS Mincho"/>
          <w:szCs w:val="20"/>
          <w:lang w:eastAsia="en-US"/>
        </w:rPr>
        <w:t>,</w:t>
      </w:r>
      <w:r w:rsidR="00C32FAE">
        <w:rPr>
          <w:rFonts w:eastAsia="MS Mincho"/>
          <w:szCs w:val="20"/>
          <w:lang w:eastAsia="en-US"/>
        </w:rPr>
        <w:t xml:space="preserve"> </w:t>
      </w:r>
      <w:r w:rsidR="00491252">
        <w:rPr>
          <w:rFonts w:eastAsia="MS Mincho"/>
          <w:szCs w:val="20"/>
          <w:lang w:eastAsia="en-US"/>
        </w:rPr>
        <w:t>which include</w:t>
      </w:r>
      <w:r w:rsidR="001A11D7">
        <w:rPr>
          <w:rFonts w:eastAsia="MS Mincho"/>
          <w:szCs w:val="20"/>
          <w:lang w:eastAsia="en-US"/>
        </w:rPr>
        <w:t>s</w:t>
      </w:r>
      <w:r w:rsidR="00C32FAE">
        <w:rPr>
          <w:rFonts w:eastAsia="MS Mincho"/>
          <w:szCs w:val="20"/>
          <w:lang w:eastAsia="en-US"/>
        </w:rPr>
        <w:t>: (1) depreciation expense; (2) Operation and Maintenance (“</w:t>
      </w:r>
      <w:proofErr w:type="spellStart"/>
      <w:r w:rsidR="00C32FAE">
        <w:rPr>
          <w:rFonts w:eastAsia="MS Mincho"/>
          <w:szCs w:val="20"/>
          <w:lang w:eastAsia="en-US"/>
        </w:rPr>
        <w:t>O&amp;M</w:t>
      </w:r>
      <w:proofErr w:type="spellEnd"/>
      <w:r w:rsidR="00C32FAE">
        <w:rPr>
          <w:rFonts w:eastAsia="MS Mincho"/>
          <w:szCs w:val="20"/>
          <w:lang w:eastAsia="en-US"/>
        </w:rPr>
        <w:t xml:space="preserve">”) expenses; (3) property taxes; </w:t>
      </w:r>
      <w:r w:rsidR="00DD389E">
        <w:rPr>
          <w:rFonts w:eastAsia="MS Mincho"/>
          <w:szCs w:val="20"/>
          <w:lang w:eastAsia="en-US"/>
        </w:rPr>
        <w:t xml:space="preserve">and </w:t>
      </w:r>
      <w:r w:rsidR="00C32FAE">
        <w:rPr>
          <w:rFonts w:eastAsia="MS Mincho"/>
          <w:szCs w:val="20"/>
          <w:lang w:eastAsia="en-US"/>
        </w:rPr>
        <w:t>(4) nuclear decommissioning costs;</w:t>
      </w:r>
      <w:r w:rsidR="00224097">
        <w:rPr>
          <w:rFonts w:eastAsia="MS Mincho"/>
          <w:szCs w:val="20"/>
          <w:lang w:eastAsia="en-US"/>
        </w:rPr>
        <w:t xml:space="preserve"> </w:t>
      </w:r>
      <w:r w:rsidR="00491252">
        <w:rPr>
          <w:rFonts w:eastAsia="MS Mincho"/>
          <w:szCs w:val="20"/>
          <w:lang w:eastAsia="en-US"/>
        </w:rPr>
        <w:t xml:space="preserve">and </w:t>
      </w:r>
      <w:r w:rsidR="00DD389E">
        <w:rPr>
          <w:rFonts w:eastAsia="MS Mincho"/>
          <w:szCs w:val="20"/>
          <w:lang w:eastAsia="en-US"/>
        </w:rPr>
        <w:t>are</w:t>
      </w:r>
      <w:r w:rsidR="00C32FAE">
        <w:rPr>
          <w:rFonts w:eastAsia="MS Mincho"/>
          <w:szCs w:val="20"/>
          <w:lang w:eastAsia="en-US"/>
        </w:rPr>
        <w:t xml:space="preserve"> partially offset </w:t>
      </w:r>
      <w:r w:rsidR="000551B7">
        <w:rPr>
          <w:rFonts w:eastAsia="MS Mincho"/>
          <w:szCs w:val="20"/>
          <w:lang w:eastAsia="en-US"/>
        </w:rPr>
        <w:t xml:space="preserve">by </w:t>
      </w:r>
      <w:r w:rsidR="00C32FAE">
        <w:rPr>
          <w:rFonts w:eastAsia="MS Mincho"/>
          <w:szCs w:val="20"/>
          <w:lang w:eastAsia="en-US"/>
        </w:rPr>
        <w:t xml:space="preserve">the full benefits of federal </w:t>
      </w:r>
      <w:r w:rsidR="00C32FAE">
        <w:rPr>
          <w:rFonts w:eastAsia="MS Mincho"/>
          <w:szCs w:val="20"/>
          <w:lang w:eastAsia="en-US"/>
        </w:rPr>
        <w:lastRenderedPageBreak/>
        <w:t xml:space="preserve">production tax credits (“PTCs”) </w:t>
      </w:r>
      <w:r w:rsidR="00381A6F">
        <w:rPr>
          <w:rFonts w:eastAsia="MS Mincho"/>
          <w:szCs w:val="20"/>
          <w:lang w:eastAsia="en-US"/>
        </w:rPr>
        <w:t xml:space="preserve">(collectively, “Operating Costs”) </w:t>
      </w:r>
      <w:r w:rsidR="00C32FAE">
        <w:rPr>
          <w:rFonts w:eastAsia="MS Mincho"/>
          <w:szCs w:val="20"/>
          <w:lang w:eastAsia="en-US"/>
        </w:rPr>
        <w:t>for Georgia Power’s ownership of Unit 3</w:t>
      </w:r>
      <w:r w:rsidR="00DF1BC6">
        <w:rPr>
          <w:rFonts w:eastAsia="MS Mincho"/>
          <w:szCs w:val="20"/>
          <w:lang w:eastAsia="en-US"/>
        </w:rPr>
        <w:t xml:space="preserve"> prior to Unit 4 being placed in base rates</w:t>
      </w:r>
      <w:r w:rsidR="000551B7">
        <w:rPr>
          <w:rFonts w:eastAsia="MS Mincho"/>
          <w:szCs w:val="20"/>
          <w:lang w:eastAsia="en-US"/>
        </w:rPr>
        <w:t>.</w:t>
      </w:r>
      <w:r w:rsidR="00707D71">
        <w:rPr>
          <w:rFonts w:eastAsia="MS Mincho"/>
          <w:szCs w:val="20"/>
          <w:lang w:eastAsia="en-US"/>
        </w:rPr>
        <w:t xml:space="preserve"> </w:t>
      </w:r>
      <w:r w:rsidR="00707D71" w:rsidRPr="00707D71">
        <w:rPr>
          <w:rFonts w:eastAsia="MS Mincho"/>
          <w:szCs w:val="20"/>
          <w:lang w:eastAsia="en-US"/>
        </w:rPr>
        <w:t xml:space="preserve">Considering </w:t>
      </w:r>
      <w:r w:rsidR="00811DD6">
        <w:rPr>
          <w:rFonts w:eastAsia="MS Mincho"/>
          <w:szCs w:val="20"/>
          <w:lang w:eastAsia="en-US"/>
        </w:rPr>
        <w:t xml:space="preserve">that </w:t>
      </w:r>
      <w:r w:rsidR="00707D71" w:rsidRPr="00707D71">
        <w:rPr>
          <w:rFonts w:eastAsia="MS Mincho"/>
          <w:szCs w:val="20"/>
          <w:lang w:eastAsia="en-US"/>
        </w:rPr>
        <w:t xml:space="preserve">the ultimate issue in this proceeding is the amount and method of cost recovery for a </w:t>
      </w:r>
      <w:r w:rsidR="00811DD6">
        <w:rPr>
          <w:rFonts w:eastAsia="MS Mincho"/>
          <w:szCs w:val="20"/>
          <w:lang w:eastAsia="en-US"/>
        </w:rPr>
        <w:t xml:space="preserve">fully </w:t>
      </w:r>
      <w:r w:rsidR="00707D71" w:rsidRPr="00707D71">
        <w:rPr>
          <w:rFonts w:eastAsia="MS Mincho"/>
          <w:szCs w:val="20"/>
          <w:lang w:eastAsia="en-US"/>
        </w:rPr>
        <w:t xml:space="preserve">operating unit, </w:t>
      </w:r>
      <w:r w:rsidR="000551B7">
        <w:rPr>
          <w:bCs/>
        </w:rPr>
        <w:t>PIA Staff’s primary recommendation</w:t>
      </w:r>
      <w:r w:rsidR="001D2541">
        <w:rPr>
          <w:bCs/>
        </w:rPr>
        <w:t xml:space="preserve"> </w:t>
      </w:r>
      <w:r w:rsidR="00EE1AE8">
        <w:rPr>
          <w:bCs/>
        </w:rPr>
        <w:t>inappropriately denies</w:t>
      </w:r>
      <w:r w:rsidR="006D73DB">
        <w:rPr>
          <w:bCs/>
        </w:rPr>
        <w:t xml:space="preserve"> recovery of depreciation</w:t>
      </w:r>
      <w:r w:rsidR="00F44EB7">
        <w:rPr>
          <w:bCs/>
        </w:rPr>
        <w:t xml:space="preserve"> and operating expenses</w:t>
      </w:r>
      <w:r w:rsidR="006D73DB">
        <w:rPr>
          <w:bCs/>
        </w:rPr>
        <w:t xml:space="preserve"> for the amount of Unit 3 and Common </w:t>
      </w:r>
      <w:r w:rsidR="00224097">
        <w:rPr>
          <w:bCs/>
        </w:rPr>
        <w:t>f</w:t>
      </w:r>
      <w:r w:rsidR="006D73DB">
        <w:rPr>
          <w:bCs/>
        </w:rPr>
        <w:t>acilities in plant-in-service reflected in base rates</w:t>
      </w:r>
      <w:r w:rsidR="007A4BEB">
        <w:rPr>
          <w:bCs/>
        </w:rPr>
        <w:t>,</w:t>
      </w:r>
      <w:r w:rsidR="001D2541">
        <w:rPr>
          <w:bCs/>
        </w:rPr>
        <w:t xml:space="preserve"> </w:t>
      </w:r>
      <w:r w:rsidR="007A6F1C">
        <w:rPr>
          <w:bCs/>
        </w:rPr>
        <w:t xml:space="preserve">while retaining the full benefit of the PTCs for customers </w:t>
      </w:r>
      <w:r w:rsidR="00F44EB7">
        <w:rPr>
          <w:bCs/>
        </w:rPr>
        <w:t>when</w:t>
      </w:r>
      <w:r w:rsidR="001D2541">
        <w:rPr>
          <w:bCs/>
        </w:rPr>
        <w:t xml:space="preserve"> Unit 3 achieves Commercial Operation</w:t>
      </w:r>
      <w:r w:rsidR="006D73DB">
        <w:rPr>
          <w:bCs/>
        </w:rPr>
        <w:t>.</w:t>
      </w:r>
      <w:r w:rsidR="001D2541">
        <w:rPr>
          <w:bCs/>
        </w:rPr>
        <w:t xml:space="preserve"> While it is true that the SIR Order and VCM 17 Order did not explicitly provide for the current recovery of</w:t>
      </w:r>
      <w:r w:rsidR="0043015F">
        <w:rPr>
          <w:bCs/>
        </w:rPr>
        <w:t xml:space="preserve"> depreciation or</w:t>
      </w:r>
      <w:r w:rsidR="001D2541">
        <w:rPr>
          <w:bCs/>
        </w:rPr>
        <w:t xml:space="preserve"> operating expenses, </w:t>
      </w:r>
      <w:r w:rsidR="000E5288">
        <w:rPr>
          <w:bCs/>
        </w:rPr>
        <w:t>they</w:t>
      </w:r>
      <w:r w:rsidR="001D2541">
        <w:rPr>
          <w:bCs/>
        </w:rPr>
        <w:t xml:space="preserve"> also did not explicitly deny or </w:t>
      </w:r>
      <w:r w:rsidR="00491252">
        <w:rPr>
          <w:bCs/>
        </w:rPr>
        <w:t>disallow</w:t>
      </w:r>
      <w:r w:rsidR="001D2541">
        <w:rPr>
          <w:bCs/>
        </w:rPr>
        <w:t xml:space="preserve"> recovery. When Unit 3 achieves Commercial Operation, </w:t>
      </w:r>
      <w:r w:rsidR="00EE1AE8">
        <w:rPr>
          <w:bCs/>
        </w:rPr>
        <w:t xml:space="preserve">Unit 3 and Common </w:t>
      </w:r>
      <w:r w:rsidR="0025533D">
        <w:rPr>
          <w:bCs/>
        </w:rPr>
        <w:t>f</w:t>
      </w:r>
      <w:r w:rsidR="00EE1AE8">
        <w:rPr>
          <w:bCs/>
        </w:rPr>
        <w:t>acilities will be serving customers</w:t>
      </w:r>
      <w:r w:rsidR="007A4BEB">
        <w:rPr>
          <w:bCs/>
        </w:rPr>
        <w:t>. Therefore</w:t>
      </w:r>
      <w:r w:rsidR="00EA2662">
        <w:rPr>
          <w:bCs/>
        </w:rPr>
        <w:t xml:space="preserve">, </w:t>
      </w:r>
      <w:r w:rsidR="001D2541">
        <w:rPr>
          <w:bCs/>
        </w:rPr>
        <w:t>it is</w:t>
      </w:r>
      <w:r w:rsidR="00811DD6">
        <w:rPr>
          <w:bCs/>
        </w:rPr>
        <w:t xml:space="preserve"> both</w:t>
      </w:r>
      <w:r w:rsidR="001D2541">
        <w:rPr>
          <w:bCs/>
        </w:rPr>
        <w:t xml:space="preserve"> reasonable</w:t>
      </w:r>
      <w:r w:rsidR="00EA2662">
        <w:rPr>
          <w:bCs/>
        </w:rPr>
        <w:t xml:space="preserve"> and consistent with prudent utility ratemaking</w:t>
      </w:r>
      <w:r w:rsidR="001D2541">
        <w:rPr>
          <w:bCs/>
        </w:rPr>
        <w:t xml:space="preserve"> for the Company to</w:t>
      </w:r>
      <w:r w:rsidR="00EB1958">
        <w:rPr>
          <w:bCs/>
        </w:rPr>
        <w:t xml:space="preserve"> currently</w:t>
      </w:r>
      <w:r w:rsidR="001D2541">
        <w:rPr>
          <w:bCs/>
        </w:rPr>
        <w:t xml:space="preserve"> </w:t>
      </w:r>
      <w:r w:rsidR="007F732E">
        <w:rPr>
          <w:bCs/>
        </w:rPr>
        <w:t>recover</w:t>
      </w:r>
      <w:r w:rsidR="001D2541">
        <w:rPr>
          <w:bCs/>
        </w:rPr>
        <w:t xml:space="preserve"> the</w:t>
      </w:r>
      <w:r w:rsidR="00EE1AE8">
        <w:rPr>
          <w:bCs/>
        </w:rPr>
        <w:t xml:space="preserve"> related</w:t>
      </w:r>
      <w:r w:rsidR="001D2541">
        <w:rPr>
          <w:bCs/>
        </w:rPr>
        <w:t xml:space="preserve"> </w:t>
      </w:r>
      <w:r w:rsidR="007F732E">
        <w:rPr>
          <w:bCs/>
        </w:rPr>
        <w:t>Unit</w:t>
      </w:r>
      <w:r w:rsidR="00503B76">
        <w:rPr>
          <w:bCs/>
        </w:rPr>
        <w:t xml:space="preserve"> 3</w:t>
      </w:r>
      <w:r w:rsidR="00BA38B1">
        <w:rPr>
          <w:bCs/>
        </w:rPr>
        <w:t xml:space="preserve"> and Common</w:t>
      </w:r>
      <w:r w:rsidR="0043015F">
        <w:rPr>
          <w:bCs/>
        </w:rPr>
        <w:t xml:space="preserve"> </w:t>
      </w:r>
      <w:r w:rsidR="00F90871">
        <w:rPr>
          <w:bCs/>
        </w:rPr>
        <w:t>Operating Costs (e.g.</w:t>
      </w:r>
      <w:r w:rsidR="00317405">
        <w:rPr>
          <w:bCs/>
        </w:rPr>
        <w:t>,</w:t>
      </w:r>
      <w:r w:rsidR="00F90871">
        <w:rPr>
          <w:bCs/>
        </w:rPr>
        <w:t xml:space="preserve"> </w:t>
      </w:r>
      <w:r w:rsidR="0043015F">
        <w:rPr>
          <w:bCs/>
        </w:rPr>
        <w:t>depreciation and</w:t>
      </w:r>
      <w:r w:rsidR="007F732E">
        <w:rPr>
          <w:bCs/>
        </w:rPr>
        <w:t xml:space="preserve"> </w:t>
      </w:r>
      <w:r w:rsidR="001D2541">
        <w:rPr>
          <w:bCs/>
        </w:rPr>
        <w:t>operating expenses</w:t>
      </w:r>
      <w:r w:rsidR="00F90871">
        <w:rPr>
          <w:bCs/>
        </w:rPr>
        <w:t>)</w:t>
      </w:r>
      <w:r w:rsidR="001D2541">
        <w:rPr>
          <w:bCs/>
        </w:rPr>
        <w:t xml:space="preserve"> </w:t>
      </w:r>
      <w:r w:rsidR="007F732E">
        <w:rPr>
          <w:bCs/>
        </w:rPr>
        <w:t xml:space="preserve">incurred </w:t>
      </w:r>
      <w:r w:rsidR="001D2541">
        <w:rPr>
          <w:bCs/>
        </w:rPr>
        <w:t>to serve customers.</w:t>
      </w:r>
    </w:p>
    <w:p w14:paraId="5C46E19B" w14:textId="19882BAC" w:rsidR="00C07B26" w:rsidRDefault="00C07B26" w:rsidP="00F36CA0">
      <w:pPr>
        <w:pStyle w:val="BodyText"/>
        <w:spacing w:before="0" w:after="240" w:line="360" w:lineRule="auto"/>
        <w:ind w:left="720" w:hanging="720"/>
        <w:rPr>
          <w:bCs/>
        </w:rPr>
      </w:pPr>
      <w:r>
        <w:rPr>
          <w:bCs/>
        </w:rPr>
        <w:tab/>
        <w:t xml:space="preserve">Finally, the Company disagrees with PIA Staff’s recommendation to retain </w:t>
      </w:r>
      <w:r w:rsidRPr="00A61688">
        <w:rPr>
          <w:bCs/>
        </w:rPr>
        <w:t>in the NCCR tariff the A</w:t>
      </w:r>
      <w:r>
        <w:rPr>
          <w:bCs/>
        </w:rPr>
        <w:t xml:space="preserve">ccumulated </w:t>
      </w:r>
      <w:r w:rsidRPr="00A61688">
        <w:rPr>
          <w:bCs/>
        </w:rPr>
        <w:t>D</w:t>
      </w:r>
      <w:r>
        <w:rPr>
          <w:bCs/>
        </w:rPr>
        <w:t xml:space="preserve">eferred </w:t>
      </w:r>
      <w:r w:rsidRPr="00A61688">
        <w:rPr>
          <w:bCs/>
        </w:rPr>
        <w:t>I</w:t>
      </w:r>
      <w:r>
        <w:rPr>
          <w:bCs/>
        </w:rPr>
        <w:t xml:space="preserve">ncome </w:t>
      </w:r>
      <w:r w:rsidRPr="00A61688">
        <w:rPr>
          <w:bCs/>
        </w:rPr>
        <w:t>T</w:t>
      </w:r>
      <w:r>
        <w:rPr>
          <w:bCs/>
        </w:rPr>
        <w:t>ax</w:t>
      </w:r>
      <w:r w:rsidR="001A11D7">
        <w:rPr>
          <w:bCs/>
        </w:rPr>
        <w:t>es (“</w:t>
      </w:r>
      <w:proofErr w:type="spellStart"/>
      <w:r w:rsidR="001A11D7">
        <w:rPr>
          <w:bCs/>
        </w:rPr>
        <w:t>ADIT</w:t>
      </w:r>
      <w:proofErr w:type="spellEnd"/>
      <w:r w:rsidR="001A11D7">
        <w:rPr>
          <w:bCs/>
        </w:rPr>
        <w:t>”)</w:t>
      </w:r>
      <w:r w:rsidRPr="00A61688">
        <w:rPr>
          <w:bCs/>
        </w:rPr>
        <w:t xml:space="preserve"> and the deficient non-protected </w:t>
      </w:r>
      <w:proofErr w:type="spellStart"/>
      <w:r w:rsidRPr="00A61688">
        <w:rPr>
          <w:bCs/>
        </w:rPr>
        <w:t>ADIT</w:t>
      </w:r>
      <w:proofErr w:type="spellEnd"/>
      <w:r w:rsidRPr="00A61688">
        <w:rPr>
          <w:bCs/>
        </w:rPr>
        <w:t xml:space="preserve"> regulatory asset attributed to the amount of the capital costs that are transferred from NCCR into base rates. </w:t>
      </w:r>
      <w:r w:rsidRPr="002A78B5">
        <w:t xml:space="preserve">The </w:t>
      </w:r>
      <w:proofErr w:type="spellStart"/>
      <w:r w:rsidRPr="002A78B5">
        <w:t>ADIT</w:t>
      </w:r>
      <w:proofErr w:type="spellEnd"/>
      <w:r w:rsidRPr="002A78B5">
        <w:t xml:space="preserve"> assets in the NCCR tariff are the direct result of the capital cost that is being recovered through the NCCR tariff</w:t>
      </w:r>
      <w:r w:rsidR="001A11D7">
        <w:t xml:space="preserve"> and, wi</w:t>
      </w:r>
      <w:r w:rsidRPr="002A78B5">
        <w:t>thout those capital cost</w:t>
      </w:r>
      <w:r>
        <w:t>s</w:t>
      </w:r>
      <w:r w:rsidRPr="002A78B5">
        <w:t xml:space="preserve"> incurred during construction, there would be no associated </w:t>
      </w:r>
      <w:proofErr w:type="spellStart"/>
      <w:r w:rsidRPr="002A78B5">
        <w:t>ADITs</w:t>
      </w:r>
      <w:proofErr w:type="spellEnd"/>
      <w:r w:rsidRPr="002A78B5">
        <w:t xml:space="preserve">. </w:t>
      </w:r>
      <w:r w:rsidR="001A11D7">
        <w:t xml:space="preserve">Accordingly, </w:t>
      </w:r>
      <w:r>
        <w:t xml:space="preserve">the Commission </w:t>
      </w:r>
      <w:r w:rsidR="001A11D7">
        <w:t>should</w:t>
      </w:r>
      <w:r>
        <w:t xml:space="preserve"> approve</w:t>
      </w:r>
      <w:r w:rsidRPr="002A78B5">
        <w:t xml:space="preserve"> </w:t>
      </w:r>
      <w:r>
        <w:t>the transfer of</w:t>
      </w:r>
      <w:r w:rsidRPr="002A78B5">
        <w:t xml:space="preserve"> </w:t>
      </w:r>
      <w:proofErr w:type="spellStart"/>
      <w:r w:rsidRPr="002A78B5">
        <w:t>ADITs</w:t>
      </w:r>
      <w:proofErr w:type="spellEnd"/>
      <w:r w:rsidRPr="002A78B5">
        <w:t xml:space="preserve"> from NCCR to base rates along with the capital cost from which those </w:t>
      </w:r>
      <w:proofErr w:type="spellStart"/>
      <w:r w:rsidRPr="002A78B5">
        <w:t>ADITs</w:t>
      </w:r>
      <w:proofErr w:type="spellEnd"/>
      <w:r w:rsidRPr="002A78B5">
        <w:t xml:space="preserve"> were derived.</w:t>
      </w:r>
    </w:p>
    <w:p w14:paraId="18C6F7E5" w14:textId="40FFA0A5" w:rsidR="00E20BBE" w:rsidRPr="002A22E7" w:rsidRDefault="00E20BBE" w:rsidP="00F36CA0">
      <w:pPr>
        <w:pStyle w:val="BodyText"/>
        <w:spacing w:before="0" w:after="240" w:line="360" w:lineRule="auto"/>
        <w:ind w:left="720" w:hanging="720"/>
        <w:rPr>
          <w:rFonts w:eastAsia="MS Mincho"/>
          <w:b/>
          <w:szCs w:val="20"/>
          <w:u w:val="single"/>
          <w:lang w:eastAsia="en-US"/>
        </w:rPr>
      </w:pPr>
      <w:r w:rsidRPr="002A22E7">
        <w:rPr>
          <w:b/>
        </w:rPr>
        <w:t>I.</w:t>
      </w:r>
      <w:r w:rsidRPr="002A22E7">
        <w:rPr>
          <w:b/>
        </w:rPr>
        <w:tab/>
      </w:r>
      <w:r>
        <w:rPr>
          <w:b/>
          <w:u w:val="single"/>
        </w:rPr>
        <w:t>Costs Related to Unit 3 and Common Deemed Prudent in the SIR Stipulation</w:t>
      </w:r>
    </w:p>
    <w:p w14:paraId="68C3E6DC" w14:textId="7DEDA7C6" w:rsidR="0063190F" w:rsidRDefault="0063190F" w:rsidP="00F36CA0">
      <w:pPr>
        <w:pStyle w:val="BodyText"/>
        <w:spacing w:before="0" w:after="240" w:line="360" w:lineRule="auto"/>
        <w:ind w:left="720" w:hanging="720"/>
        <w:rPr>
          <w:b/>
        </w:rPr>
      </w:pPr>
      <w:bookmarkStart w:id="2" w:name="_Ref11173442"/>
      <w:bookmarkStart w:id="3" w:name="_Ref11173768"/>
      <w:bookmarkStart w:id="4" w:name="_Toc11174250"/>
      <w:bookmarkStart w:id="5" w:name="_Hlk11051020"/>
      <w:r w:rsidRPr="00ED2B97">
        <w:rPr>
          <w:b/>
        </w:rPr>
        <w:t>Q.</w:t>
      </w:r>
      <w:r w:rsidRPr="00ED2B97">
        <w:rPr>
          <w:b/>
        </w:rPr>
        <w:tab/>
      </w:r>
      <w:r w:rsidR="002B7631">
        <w:rPr>
          <w:b/>
        </w:rPr>
        <w:t xml:space="preserve">WHY </w:t>
      </w:r>
      <w:r w:rsidR="00CC0F61">
        <w:rPr>
          <w:b/>
        </w:rPr>
        <w:t>IS</w:t>
      </w:r>
      <w:r w:rsidR="002B7631">
        <w:rPr>
          <w:b/>
        </w:rPr>
        <w:t xml:space="preserve"> </w:t>
      </w:r>
      <w:r w:rsidR="00E036FC">
        <w:rPr>
          <w:b/>
        </w:rPr>
        <w:t xml:space="preserve">PIA STAFF’S </w:t>
      </w:r>
      <w:r w:rsidR="00CC0F61">
        <w:rPr>
          <w:b/>
        </w:rPr>
        <w:t xml:space="preserve">PROPOSED </w:t>
      </w:r>
      <w:r w:rsidR="00E036FC">
        <w:rPr>
          <w:b/>
        </w:rPr>
        <w:t xml:space="preserve">$1.493 BILLION REDUCTION OF THE AMOUNT DEEMED PRUDENT IN THE SIR ORDER FOR THE </w:t>
      </w:r>
      <w:proofErr w:type="spellStart"/>
      <w:r w:rsidR="00E036FC">
        <w:rPr>
          <w:b/>
        </w:rPr>
        <w:t>TPG</w:t>
      </w:r>
      <w:proofErr w:type="spellEnd"/>
      <w:r w:rsidR="00E036FC">
        <w:rPr>
          <w:b/>
        </w:rPr>
        <w:t xml:space="preserve"> UN</w:t>
      </w:r>
      <w:r w:rsidR="001071E7">
        <w:rPr>
          <w:b/>
        </w:rPr>
        <w:t>N</w:t>
      </w:r>
      <w:r w:rsidR="00E036FC">
        <w:rPr>
          <w:b/>
        </w:rPr>
        <w:t>ECESSARY AND INAPPROPRIATE</w:t>
      </w:r>
      <w:r w:rsidR="002B7631">
        <w:rPr>
          <w:b/>
        </w:rPr>
        <w:t>?</w:t>
      </w:r>
    </w:p>
    <w:p w14:paraId="0FF5C60F" w14:textId="2322426E" w:rsidR="00C40214" w:rsidRDefault="0063190F" w:rsidP="00F36CA0">
      <w:pPr>
        <w:pStyle w:val="BodyText"/>
        <w:spacing w:before="0" w:after="240" w:line="360" w:lineRule="auto"/>
        <w:ind w:left="720" w:hanging="720"/>
        <w:rPr>
          <w:bCs/>
        </w:rPr>
      </w:pPr>
      <w:r w:rsidRPr="00031A62">
        <w:rPr>
          <w:bCs/>
        </w:rPr>
        <w:t>A.</w:t>
      </w:r>
      <w:r w:rsidRPr="00031A62">
        <w:rPr>
          <w:bCs/>
        </w:rPr>
        <w:tab/>
      </w:r>
      <w:r w:rsidR="00C40214">
        <w:rPr>
          <w:bCs/>
        </w:rPr>
        <w:t xml:space="preserve">As explained in our </w:t>
      </w:r>
      <w:r w:rsidR="003F62CA">
        <w:rPr>
          <w:bCs/>
        </w:rPr>
        <w:t>D</w:t>
      </w:r>
      <w:r w:rsidR="00C40214">
        <w:rPr>
          <w:bCs/>
        </w:rPr>
        <w:t xml:space="preserve">irect </w:t>
      </w:r>
      <w:r w:rsidR="003F62CA">
        <w:rPr>
          <w:bCs/>
        </w:rPr>
        <w:t>T</w:t>
      </w:r>
      <w:r w:rsidR="00C40214">
        <w:rPr>
          <w:bCs/>
        </w:rPr>
        <w:t xml:space="preserve">estimony, </w:t>
      </w:r>
      <w:r w:rsidR="001A7665">
        <w:rPr>
          <w:bCs/>
        </w:rPr>
        <w:t xml:space="preserve">and </w:t>
      </w:r>
      <w:r w:rsidR="0043015F">
        <w:rPr>
          <w:bCs/>
        </w:rPr>
        <w:t xml:space="preserve">as </w:t>
      </w:r>
      <w:r w:rsidR="001A7665">
        <w:rPr>
          <w:bCs/>
        </w:rPr>
        <w:t xml:space="preserve">explicitly </w:t>
      </w:r>
      <w:r w:rsidR="0043015F">
        <w:rPr>
          <w:bCs/>
        </w:rPr>
        <w:t>directed by</w:t>
      </w:r>
      <w:r w:rsidR="00C40214">
        <w:rPr>
          <w:bCs/>
        </w:rPr>
        <w:t xml:space="preserve"> the Commission’s VCM 17 Order,</w:t>
      </w:r>
      <w:r w:rsidR="00C40214" w:rsidRPr="005D4B7C">
        <w:rPr>
          <w:bCs/>
        </w:rPr>
        <w:t xml:space="preserve"> the Company (1) credited each customer with three $25 monthly bill </w:t>
      </w:r>
      <w:r w:rsidR="00C40214" w:rsidRPr="005D4B7C">
        <w:rPr>
          <w:bCs/>
        </w:rPr>
        <w:lastRenderedPageBreak/>
        <w:t>credits, and (2)</w:t>
      </w:r>
      <w:r w:rsidR="00A90CC7">
        <w:rPr>
          <w:bCs/>
        </w:rPr>
        <w:t> </w:t>
      </w:r>
      <w:r w:rsidR="00C40214" w:rsidRPr="005D4B7C">
        <w:rPr>
          <w:bCs/>
        </w:rPr>
        <w:t xml:space="preserve">applied the remaining </w:t>
      </w:r>
      <w:proofErr w:type="spellStart"/>
      <w:r w:rsidR="00C354F2">
        <w:rPr>
          <w:bCs/>
        </w:rPr>
        <w:t>TPG</w:t>
      </w:r>
      <w:proofErr w:type="spellEnd"/>
      <w:r w:rsidR="00C40214" w:rsidRPr="005D4B7C">
        <w:rPr>
          <w:bCs/>
        </w:rPr>
        <w:t xml:space="preserve"> proceeds to the </w:t>
      </w:r>
      <w:proofErr w:type="spellStart"/>
      <w:r w:rsidR="00C40214" w:rsidRPr="005D4B7C">
        <w:rPr>
          <w:bCs/>
        </w:rPr>
        <w:t>CWIP</w:t>
      </w:r>
      <w:proofErr w:type="spellEnd"/>
      <w:r w:rsidR="00C40214" w:rsidRPr="005D4B7C">
        <w:rPr>
          <w:bCs/>
        </w:rPr>
        <w:t xml:space="preserve"> balance.</w:t>
      </w:r>
      <w:r w:rsidR="00C40214">
        <w:rPr>
          <w:bCs/>
        </w:rPr>
        <w:t xml:space="preserve"> </w:t>
      </w:r>
      <w:r w:rsidR="00C40214" w:rsidRPr="005D4B7C">
        <w:rPr>
          <w:bCs/>
        </w:rPr>
        <w:t>Immediately applying those funds had the effect of</w:t>
      </w:r>
      <w:r w:rsidR="001A7665">
        <w:rPr>
          <w:bCs/>
        </w:rPr>
        <w:t xml:space="preserve"> not only</w:t>
      </w:r>
      <w:r w:rsidR="00C40214" w:rsidRPr="005D4B7C">
        <w:rPr>
          <w:bCs/>
        </w:rPr>
        <w:t xml:space="preserve"> reducing the capital cost that </w:t>
      </w:r>
      <w:r w:rsidR="001A7665">
        <w:rPr>
          <w:bCs/>
        </w:rPr>
        <w:t>was</w:t>
      </w:r>
      <w:r w:rsidR="001A7665" w:rsidRPr="005D4B7C">
        <w:rPr>
          <w:bCs/>
        </w:rPr>
        <w:t xml:space="preserve"> </w:t>
      </w:r>
      <w:r w:rsidR="00C40214" w:rsidRPr="005D4B7C">
        <w:rPr>
          <w:bCs/>
        </w:rPr>
        <w:t>reflected in the Company’s NCCR rate base</w:t>
      </w:r>
      <w:r w:rsidR="001A7665">
        <w:rPr>
          <w:bCs/>
        </w:rPr>
        <w:t xml:space="preserve"> at the time</w:t>
      </w:r>
      <w:r w:rsidR="00317405">
        <w:rPr>
          <w:bCs/>
        </w:rPr>
        <w:t>,</w:t>
      </w:r>
      <w:r w:rsidR="001A7665">
        <w:rPr>
          <w:bCs/>
        </w:rPr>
        <w:t xml:space="preserve"> but also permanently reducing the entire cost of the Project</w:t>
      </w:r>
      <w:r w:rsidR="0043015F">
        <w:rPr>
          <w:bCs/>
        </w:rPr>
        <w:t>, thus benefitting customers because t</w:t>
      </w:r>
      <w:r w:rsidR="00C40214">
        <w:rPr>
          <w:bCs/>
        </w:rPr>
        <w:t xml:space="preserve">hose costs will never be placed in service and customers will never be responsible for or pay those costs. Thus, the immediate application of the </w:t>
      </w:r>
      <w:proofErr w:type="spellStart"/>
      <w:r w:rsidR="00C354F2">
        <w:rPr>
          <w:bCs/>
        </w:rPr>
        <w:t>TPG</w:t>
      </w:r>
      <w:proofErr w:type="spellEnd"/>
      <w:r w:rsidR="00C40214">
        <w:rPr>
          <w:bCs/>
        </w:rPr>
        <w:t xml:space="preserve"> proceeds to </w:t>
      </w:r>
      <w:proofErr w:type="spellStart"/>
      <w:r w:rsidR="00C40214">
        <w:rPr>
          <w:bCs/>
        </w:rPr>
        <w:t>CWIP</w:t>
      </w:r>
      <w:proofErr w:type="spellEnd"/>
      <w:r w:rsidR="00C40214">
        <w:rPr>
          <w:bCs/>
        </w:rPr>
        <w:t xml:space="preserve"> </w:t>
      </w:r>
      <w:r w:rsidR="00C40214" w:rsidRPr="005D4B7C">
        <w:rPr>
          <w:bCs/>
        </w:rPr>
        <w:t>reduc</w:t>
      </w:r>
      <w:r w:rsidR="00C40214">
        <w:rPr>
          <w:bCs/>
        </w:rPr>
        <w:t>ed</w:t>
      </w:r>
      <w:r w:rsidR="00C40214" w:rsidRPr="005D4B7C">
        <w:rPr>
          <w:bCs/>
        </w:rPr>
        <w:t xml:space="preserve"> the ultimate cost borne by customers</w:t>
      </w:r>
      <w:r w:rsidR="0043015F">
        <w:rPr>
          <w:bCs/>
        </w:rPr>
        <w:t xml:space="preserve"> both through reduced NCCR collections</w:t>
      </w:r>
      <w:r w:rsidR="00890A16">
        <w:rPr>
          <w:bCs/>
        </w:rPr>
        <w:t xml:space="preserve">, reduced </w:t>
      </w:r>
      <w:r w:rsidR="00890A16" w:rsidRPr="00E22A91">
        <w:t>allowance for funds used during construction (“</w:t>
      </w:r>
      <w:proofErr w:type="spellStart"/>
      <w:r w:rsidR="00890A16" w:rsidRPr="00E22A91">
        <w:t>AFUDC</w:t>
      </w:r>
      <w:proofErr w:type="spellEnd"/>
      <w:r w:rsidR="00890A16" w:rsidRPr="00E22A91">
        <w:t xml:space="preserve">”) </w:t>
      </w:r>
      <w:r w:rsidR="00890A16">
        <w:rPr>
          <w:bCs/>
        </w:rPr>
        <w:t>deferrals,</w:t>
      </w:r>
      <w:r w:rsidR="0043015F">
        <w:rPr>
          <w:bCs/>
        </w:rPr>
        <w:t xml:space="preserve"> and reduced capital costs</w:t>
      </w:r>
      <w:r w:rsidR="00890A16">
        <w:rPr>
          <w:bCs/>
        </w:rPr>
        <w:t xml:space="preserve"> overall</w:t>
      </w:r>
      <w:r w:rsidR="00C40214" w:rsidRPr="005D4B7C">
        <w:rPr>
          <w:bCs/>
        </w:rPr>
        <w:t xml:space="preserve">. Accordingly, customers </w:t>
      </w:r>
      <w:r w:rsidR="00503B76" w:rsidRPr="005D4B7C">
        <w:rPr>
          <w:bCs/>
        </w:rPr>
        <w:t xml:space="preserve">have </w:t>
      </w:r>
      <w:r w:rsidR="00C40214" w:rsidRPr="005D4B7C">
        <w:rPr>
          <w:bCs/>
        </w:rPr>
        <w:t xml:space="preserve">already received the benefit of the </w:t>
      </w:r>
      <w:proofErr w:type="spellStart"/>
      <w:r w:rsidR="003F62CA">
        <w:rPr>
          <w:bCs/>
        </w:rPr>
        <w:t>TPG</w:t>
      </w:r>
      <w:proofErr w:type="spellEnd"/>
      <w:r w:rsidR="00C40214" w:rsidRPr="005D4B7C">
        <w:rPr>
          <w:bCs/>
        </w:rPr>
        <w:t xml:space="preserve"> as ordered by the Commission</w:t>
      </w:r>
      <w:r w:rsidR="007A4BEB">
        <w:rPr>
          <w:bCs/>
        </w:rPr>
        <w:t>,</w:t>
      </w:r>
      <w:r w:rsidR="00C354F2">
        <w:rPr>
          <w:bCs/>
        </w:rPr>
        <w:t xml:space="preserve"> and a further reduction of the amount transferred from </w:t>
      </w:r>
      <w:proofErr w:type="spellStart"/>
      <w:r w:rsidR="00C354F2">
        <w:rPr>
          <w:bCs/>
        </w:rPr>
        <w:t>CWIP</w:t>
      </w:r>
      <w:proofErr w:type="spellEnd"/>
      <w:r w:rsidR="00C354F2">
        <w:rPr>
          <w:bCs/>
        </w:rPr>
        <w:t xml:space="preserve"> to base rates </w:t>
      </w:r>
      <w:r w:rsidR="00503B76">
        <w:rPr>
          <w:bCs/>
        </w:rPr>
        <w:t xml:space="preserve">would be </w:t>
      </w:r>
      <w:r w:rsidR="00F44EB7">
        <w:rPr>
          <w:bCs/>
        </w:rPr>
        <w:t xml:space="preserve">punitive and </w:t>
      </w:r>
      <w:r w:rsidR="00503B76">
        <w:rPr>
          <w:bCs/>
        </w:rPr>
        <w:t>inappropriate</w:t>
      </w:r>
      <w:r w:rsidR="00C40214" w:rsidRPr="005D4B7C">
        <w:rPr>
          <w:bCs/>
        </w:rPr>
        <w:t>.</w:t>
      </w:r>
    </w:p>
    <w:p w14:paraId="3DEA2E39" w14:textId="11948ACC" w:rsidR="0017538D" w:rsidRDefault="0043015F" w:rsidP="00F36CA0">
      <w:pPr>
        <w:pStyle w:val="BodyText"/>
        <w:spacing w:before="0" w:after="240" w:line="360" w:lineRule="auto"/>
        <w:ind w:left="720" w:firstLine="0"/>
        <w:rPr>
          <w:bCs/>
        </w:rPr>
      </w:pPr>
      <w:r>
        <w:rPr>
          <w:bCs/>
        </w:rPr>
        <w:t>T</w:t>
      </w:r>
      <w:r w:rsidR="00C354F2">
        <w:rPr>
          <w:bCs/>
        </w:rPr>
        <w:t>he</w:t>
      </w:r>
      <w:r w:rsidR="0017538D">
        <w:rPr>
          <w:bCs/>
        </w:rPr>
        <w:t xml:space="preserve"> permanent impact of applying the </w:t>
      </w:r>
      <w:proofErr w:type="spellStart"/>
      <w:r w:rsidR="0017538D">
        <w:rPr>
          <w:bCs/>
        </w:rPr>
        <w:t>TPG</w:t>
      </w:r>
      <w:proofErr w:type="spellEnd"/>
      <w:r w:rsidR="0017538D">
        <w:rPr>
          <w:bCs/>
        </w:rPr>
        <w:t xml:space="preserve"> to reduce the </w:t>
      </w:r>
      <w:proofErr w:type="spellStart"/>
      <w:r w:rsidR="0017538D">
        <w:rPr>
          <w:bCs/>
        </w:rPr>
        <w:t>CWIP</w:t>
      </w:r>
      <w:proofErr w:type="spellEnd"/>
      <w:r w:rsidR="0017538D">
        <w:rPr>
          <w:bCs/>
        </w:rPr>
        <w:t xml:space="preserve"> balance is further illustrated in paragraph 3 of the VCM</w:t>
      </w:r>
      <w:r w:rsidR="00B251D1">
        <w:rPr>
          <w:bCs/>
        </w:rPr>
        <w:t xml:space="preserve"> </w:t>
      </w:r>
      <w:r w:rsidR="0017538D">
        <w:rPr>
          <w:bCs/>
        </w:rPr>
        <w:t xml:space="preserve">17 Order, where the Commission approved the revised capital cost forecast </w:t>
      </w:r>
      <w:r w:rsidR="0017538D" w:rsidRPr="00E60830">
        <w:rPr>
          <w:bCs/>
          <w:i/>
          <w:iCs/>
        </w:rPr>
        <w:t>net</w:t>
      </w:r>
      <w:r w:rsidR="0017538D">
        <w:rPr>
          <w:bCs/>
        </w:rPr>
        <w:t xml:space="preserve"> of the </w:t>
      </w:r>
      <w:proofErr w:type="spellStart"/>
      <w:r w:rsidR="0017538D">
        <w:rPr>
          <w:bCs/>
        </w:rPr>
        <w:t>TPG</w:t>
      </w:r>
      <w:proofErr w:type="spellEnd"/>
      <w:r w:rsidR="0017538D">
        <w:rPr>
          <w:bCs/>
        </w:rPr>
        <w:t>:</w:t>
      </w:r>
    </w:p>
    <w:p w14:paraId="5BFC0B09" w14:textId="1AC893C4" w:rsidR="0017538D" w:rsidRPr="007A4BEB" w:rsidRDefault="0017538D" w:rsidP="00F36CA0">
      <w:pPr>
        <w:autoSpaceDE w:val="0"/>
        <w:autoSpaceDN w:val="0"/>
        <w:adjustRightInd w:val="0"/>
        <w:ind w:left="1440" w:right="720"/>
        <w:jc w:val="both"/>
      </w:pPr>
      <w:r w:rsidRPr="007A4BEB">
        <w:rPr>
          <w:sz w:val="23"/>
          <w:szCs w:val="23"/>
          <w:lang w:eastAsia="en-US"/>
        </w:rPr>
        <w:t>The Commission approves and finds reasonable the Company</w:t>
      </w:r>
      <w:r w:rsidR="00B251D1" w:rsidRPr="007A4BEB">
        <w:rPr>
          <w:sz w:val="23"/>
          <w:szCs w:val="23"/>
          <w:lang w:eastAsia="en-US"/>
        </w:rPr>
        <w:t>’</w:t>
      </w:r>
      <w:r w:rsidRPr="007A4BEB">
        <w:rPr>
          <w:sz w:val="23"/>
          <w:szCs w:val="23"/>
          <w:lang w:eastAsia="en-US"/>
        </w:rPr>
        <w:t>s revised schedule and cost forecast. The approved cost forecast, however</w:t>
      </w:r>
      <w:r w:rsidR="00B251D1" w:rsidRPr="007A4BEB">
        <w:rPr>
          <w:sz w:val="23"/>
          <w:szCs w:val="23"/>
          <w:lang w:eastAsia="en-US"/>
        </w:rPr>
        <w:t>,</w:t>
      </w:r>
      <w:r w:rsidRPr="007A4BEB">
        <w:rPr>
          <w:sz w:val="23"/>
          <w:szCs w:val="23"/>
          <w:lang w:eastAsia="en-US"/>
        </w:rPr>
        <w:t xml:space="preserve"> shall be reduced by the actual amounts of the Toshiba Parent Guaranty applied to the project</w:t>
      </w:r>
      <w:r w:rsidR="00B251D1" w:rsidRPr="007A4BEB">
        <w:rPr>
          <w:sz w:val="23"/>
          <w:szCs w:val="23"/>
          <w:lang w:eastAsia="en-US"/>
        </w:rPr>
        <w:t>’</w:t>
      </w:r>
      <w:r w:rsidRPr="007A4BEB">
        <w:rPr>
          <w:sz w:val="23"/>
          <w:szCs w:val="23"/>
          <w:lang w:eastAsia="en-US"/>
        </w:rPr>
        <w:t>s construction work in progress (“</w:t>
      </w:r>
      <w:proofErr w:type="spellStart"/>
      <w:r w:rsidRPr="007A4BEB">
        <w:rPr>
          <w:sz w:val="23"/>
          <w:szCs w:val="23"/>
          <w:lang w:eastAsia="en-US"/>
        </w:rPr>
        <w:t>CWIP</w:t>
      </w:r>
      <w:proofErr w:type="spellEnd"/>
      <w:r w:rsidRPr="007A4BEB">
        <w:rPr>
          <w:sz w:val="23"/>
          <w:szCs w:val="23"/>
          <w:lang w:eastAsia="en-US"/>
        </w:rPr>
        <w:t>”) balance. This places the approved revised capital cost forecast at $7.3 Billion</w:t>
      </w:r>
      <w:r w:rsidRPr="007A4BEB">
        <w:t>.</w:t>
      </w:r>
      <w:r w:rsidR="00B251D1" w:rsidRPr="007A4BEB">
        <w:t xml:space="preserve"> </w:t>
      </w:r>
    </w:p>
    <w:p w14:paraId="43588F94" w14:textId="13D426CD" w:rsidR="00B251D1" w:rsidRDefault="0043015F" w:rsidP="00F36CA0">
      <w:pPr>
        <w:autoSpaceDE w:val="0"/>
        <w:autoSpaceDN w:val="0"/>
        <w:adjustRightInd w:val="0"/>
        <w:spacing w:before="240" w:after="240" w:line="360" w:lineRule="auto"/>
        <w:ind w:left="720"/>
        <w:jc w:val="both"/>
      </w:pPr>
      <w:r>
        <w:t>Thus</w:t>
      </w:r>
      <w:r w:rsidR="00503B76">
        <w:t xml:space="preserve">, </w:t>
      </w:r>
      <w:r w:rsidR="00B251D1">
        <w:t xml:space="preserve">the Commission already </w:t>
      </w:r>
      <w:r w:rsidR="00136F4A">
        <w:t>accounted for</w:t>
      </w:r>
      <w:r w:rsidR="00B251D1">
        <w:t xml:space="preserve"> the reduction of the </w:t>
      </w:r>
      <w:proofErr w:type="spellStart"/>
      <w:r w:rsidR="00B251D1">
        <w:t>TPG</w:t>
      </w:r>
      <w:proofErr w:type="spellEnd"/>
      <w:r w:rsidR="00B251D1">
        <w:t xml:space="preserve"> in </w:t>
      </w:r>
      <w:r>
        <w:t xml:space="preserve">setting </w:t>
      </w:r>
      <w:r w:rsidR="00890A16">
        <w:t xml:space="preserve">and approving </w:t>
      </w:r>
      <w:r w:rsidR="00B251D1">
        <w:t>the</w:t>
      </w:r>
      <w:r>
        <w:t xml:space="preserve"> revised capital cost forecast at</w:t>
      </w:r>
      <w:r w:rsidR="00B251D1">
        <w:t xml:space="preserve"> $7.3 billion in the VCM 17 proceeding.</w:t>
      </w:r>
    </w:p>
    <w:p w14:paraId="5A8244A5" w14:textId="532B47CD" w:rsidR="00136F4A" w:rsidRPr="00136F4A" w:rsidRDefault="008A6E4D" w:rsidP="00136F4A">
      <w:pPr>
        <w:pStyle w:val="BodyText"/>
        <w:spacing w:line="360" w:lineRule="auto"/>
        <w:ind w:left="720" w:hanging="720"/>
        <w:rPr>
          <w:b/>
        </w:rPr>
      </w:pPr>
      <w:r w:rsidRPr="008A6E4D">
        <w:rPr>
          <w:b/>
        </w:rPr>
        <w:t>Q.</w:t>
      </w:r>
      <w:r w:rsidRPr="008A6E4D">
        <w:rPr>
          <w:b/>
        </w:rPr>
        <w:tab/>
      </w:r>
      <w:r w:rsidR="00136F4A" w:rsidRPr="00136F4A">
        <w:rPr>
          <w:b/>
        </w:rPr>
        <w:t xml:space="preserve">HOW MUCH DID CUSTOMERS BENEFIT FROM APPLYING THE </w:t>
      </w:r>
      <w:proofErr w:type="spellStart"/>
      <w:r w:rsidR="00136F4A" w:rsidRPr="00136F4A">
        <w:rPr>
          <w:b/>
        </w:rPr>
        <w:t>TPG</w:t>
      </w:r>
      <w:proofErr w:type="spellEnd"/>
      <w:r w:rsidR="00136F4A" w:rsidRPr="00136F4A">
        <w:rPr>
          <w:b/>
        </w:rPr>
        <w:t xml:space="preserve"> PROCEEDS TO THE </w:t>
      </w:r>
      <w:proofErr w:type="spellStart"/>
      <w:r w:rsidR="00A2298B">
        <w:rPr>
          <w:b/>
        </w:rPr>
        <w:t>CWIP</w:t>
      </w:r>
      <w:proofErr w:type="spellEnd"/>
      <w:r w:rsidR="00A2298B" w:rsidRPr="00136F4A">
        <w:rPr>
          <w:b/>
        </w:rPr>
        <w:t xml:space="preserve"> </w:t>
      </w:r>
      <w:r w:rsidR="00136F4A" w:rsidRPr="00136F4A">
        <w:rPr>
          <w:b/>
        </w:rPr>
        <w:t>BALANCE AS DIRECTED BY THE COMMISSION IN THE VCM 17 ORDER?</w:t>
      </w:r>
    </w:p>
    <w:p w14:paraId="1E5DA3FD" w14:textId="7F530142" w:rsidR="008A6E4D" w:rsidRPr="00E22A91" w:rsidRDefault="008A6E4D" w:rsidP="00E22A91">
      <w:pPr>
        <w:pStyle w:val="BodyText"/>
        <w:spacing w:line="360" w:lineRule="auto"/>
        <w:ind w:left="720" w:hanging="720"/>
      </w:pPr>
      <w:r w:rsidRPr="00E22A91">
        <w:t>A.</w:t>
      </w:r>
      <w:r w:rsidRPr="00E22A91">
        <w:tab/>
      </w:r>
      <w:r>
        <w:t>A</w:t>
      </w:r>
      <w:r w:rsidRPr="00B64E4F">
        <w:t xml:space="preserve">s a result of applying the </w:t>
      </w:r>
      <w:proofErr w:type="spellStart"/>
      <w:r w:rsidRPr="00B64E4F">
        <w:t>TPG</w:t>
      </w:r>
      <w:proofErr w:type="spellEnd"/>
      <w:r w:rsidRPr="00B64E4F">
        <w:t xml:space="preserve"> proceeds to the </w:t>
      </w:r>
      <w:proofErr w:type="spellStart"/>
      <w:r w:rsidRPr="00B64E4F">
        <w:t>CWIP</w:t>
      </w:r>
      <w:proofErr w:type="spellEnd"/>
      <w:r w:rsidRPr="00B64E4F">
        <w:t xml:space="preserve"> balance</w:t>
      </w:r>
      <w:r w:rsidR="007A4BEB">
        <w:t>,</w:t>
      </w:r>
      <w:r w:rsidRPr="00B64E4F">
        <w:t xml:space="preserve"> as directed in the VCM 17 Order</w:t>
      </w:r>
      <w:r>
        <w:t>, c</w:t>
      </w:r>
      <w:r w:rsidRPr="00E22A91">
        <w:t xml:space="preserve">ustomers </w:t>
      </w:r>
      <w:r w:rsidR="00F162C9">
        <w:t xml:space="preserve">have </w:t>
      </w:r>
      <w:r w:rsidRPr="00E22A91">
        <w:t xml:space="preserve">paid approximately $80 million less </w:t>
      </w:r>
      <w:r w:rsidR="00DD389E">
        <w:t>through</w:t>
      </w:r>
      <w:r w:rsidRPr="00E22A91">
        <w:t xml:space="preserve"> the NCCR </w:t>
      </w:r>
      <w:r w:rsidR="00A90CC7">
        <w:t>t</w:t>
      </w:r>
      <w:r w:rsidRPr="00E22A91">
        <w:t>ariff</w:t>
      </w:r>
      <w:r w:rsidR="007A4BEB">
        <w:t>.</w:t>
      </w:r>
      <w:r w:rsidRPr="00E22A91">
        <w:t xml:space="preserve"> </w:t>
      </w:r>
      <w:r w:rsidR="007A4BEB">
        <w:t xml:space="preserve">Additionally, </w:t>
      </w:r>
      <w:r w:rsidRPr="00E22A91">
        <w:t xml:space="preserve">the Company projects </w:t>
      </w:r>
      <w:r w:rsidR="007A4BEB">
        <w:t xml:space="preserve">that </w:t>
      </w:r>
      <w:r w:rsidRPr="00E22A91">
        <w:t>customers will pay approximately $260</w:t>
      </w:r>
      <w:r>
        <w:t xml:space="preserve"> million</w:t>
      </w:r>
      <w:r w:rsidRPr="00E22A91">
        <w:t xml:space="preserve"> less in </w:t>
      </w:r>
      <w:proofErr w:type="spellStart"/>
      <w:r w:rsidR="00890A16">
        <w:rPr>
          <w:bCs/>
        </w:rPr>
        <w:t>AFUDC</w:t>
      </w:r>
      <w:proofErr w:type="spellEnd"/>
      <w:r w:rsidR="00890A16">
        <w:rPr>
          <w:bCs/>
        </w:rPr>
        <w:t xml:space="preserve"> </w:t>
      </w:r>
      <w:r w:rsidRPr="00E22A91">
        <w:t xml:space="preserve">costs over the operating lives of </w:t>
      </w:r>
      <w:r>
        <w:t>Units 3 and 4</w:t>
      </w:r>
      <w:r w:rsidRPr="00E22A91">
        <w:t>.</w:t>
      </w:r>
    </w:p>
    <w:p w14:paraId="62BBF72D" w14:textId="098EB75C" w:rsidR="00C40214" w:rsidRDefault="00C40214" w:rsidP="00F36CA0">
      <w:pPr>
        <w:pStyle w:val="BodyText"/>
        <w:spacing w:before="0" w:after="240" w:line="360" w:lineRule="auto"/>
        <w:ind w:left="720" w:hanging="720"/>
        <w:rPr>
          <w:b/>
        </w:rPr>
      </w:pPr>
      <w:r w:rsidRPr="00ED2B97">
        <w:rPr>
          <w:b/>
        </w:rPr>
        <w:lastRenderedPageBreak/>
        <w:t>Q.</w:t>
      </w:r>
      <w:r w:rsidRPr="00ED2B97">
        <w:rPr>
          <w:b/>
        </w:rPr>
        <w:tab/>
      </w:r>
      <w:r>
        <w:rPr>
          <w:b/>
        </w:rPr>
        <w:t xml:space="preserve">DID THE COMMISSION SPECIFY IN </w:t>
      </w:r>
      <w:r w:rsidR="003F62CA">
        <w:rPr>
          <w:b/>
        </w:rPr>
        <w:t xml:space="preserve">THE </w:t>
      </w:r>
      <w:r>
        <w:rPr>
          <w:b/>
        </w:rPr>
        <w:t xml:space="preserve">VCM 17 ORDER THAT THE </w:t>
      </w:r>
      <w:proofErr w:type="spellStart"/>
      <w:r w:rsidR="003A1C89">
        <w:rPr>
          <w:b/>
        </w:rPr>
        <w:t>TPG</w:t>
      </w:r>
      <w:proofErr w:type="spellEnd"/>
      <w:r>
        <w:rPr>
          <w:b/>
        </w:rPr>
        <w:t xml:space="preserve"> BE APPLIED TO THE </w:t>
      </w:r>
      <w:proofErr w:type="spellStart"/>
      <w:r>
        <w:rPr>
          <w:b/>
        </w:rPr>
        <w:t>CWIP</w:t>
      </w:r>
      <w:proofErr w:type="spellEnd"/>
      <w:r>
        <w:rPr>
          <w:b/>
        </w:rPr>
        <w:t xml:space="preserve"> BALANCE AS OF DECEMBER 31, 2015? </w:t>
      </w:r>
    </w:p>
    <w:p w14:paraId="60066F5C" w14:textId="40015335" w:rsidR="00C40214" w:rsidRPr="00031A62" w:rsidRDefault="00C40214" w:rsidP="00F36CA0">
      <w:pPr>
        <w:pStyle w:val="BodyText"/>
        <w:spacing w:before="0" w:after="240" w:line="360" w:lineRule="auto"/>
        <w:ind w:left="720" w:hanging="720"/>
        <w:rPr>
          <w:rFonts w:eastAsia="MS Mincho"/>
          <w:bCs/>
          <w:szCs w:val="20"/>
          <w:lang w:eastAsia="en-US"/>
        </w:rPr>
      </w:pPr>
      <w:r w:rsidRPr="00031A62">
        <w:rPr>
          <w:bCs/>
        </w:rPr>
        <w:t>A.</w:t>
      </w:r>
      <w:r w:rsidRPr="00031A62">
        <w:rPr>
          <w:bCs/>
        </w:rPr>
        <w:tab/>
      </w:r>
      <w:r>
        <w:rPr>
          <w:bCs/>
        </w:rPr>
        <w:t xml:space="preserve">No. The discussion of the </w:t>
      </w:r>
      <w:proofErr w:type="spellStart"/>
      <w:r w:rsidR="003A1C89">
        <w:rPr>
          <w:bCs/>
        </w:rPr>
        <w:t>TPG</w:t>
      </w:r>
      <w:proofErr w:type="spellEnd"/>
      <w:r>
        <w:rPr>
          <w:bCs/>
        </w:rPr>
        <w:t xml:space="preserve"> in the body of the VCM 17 Order and in the</w:t>
      </w:r>
      <w:r w:rsidR="0043015F">
        <w:rPr>
          <w:bCs/>
        </w:rPr>
        <w:t xml:space="preserve"> subsequent</w:t>
      </w:r>
      <w:r>
        <w:rPr>
          <w:bCs/>
        </w:rPr>
        <w:t xml:space="preserve"> ordering paragraphs does not reference the December 31, 2015 date. </w:t>
      </w:r>
      <w:r w:rsidR="007F573B" w:rsidRPr="00A2298B">
        <w:rPr>
          <w:bCs/>
        </w:rPr>
        <w:t>Consistent with</w:t>
      </w:r>
      <w:r w:rsidR="003A1C89" w:rsidRPr="00A2298B">
        <w:rPr>
          <w:bCs/>
        </w:rPr>
        <w:t xml:space="preserve"> the VCM 17 Order, the Company reduce</w:t>
      </w:r>
      <w:r w:rsidR="00A2298B" w:rsidRPr="00A2298B">
        <w:rPr>
          <w:bCs/>
        </w:rPr>
        <w:t>d</w:t>
      </w:r>
      <w:r w:rsidR="003A1C89" w:rsidRPr="00A2298B">
        <w:rPr>
          <w:bCs/>
        </w:rPr>
        <w:t xml:space="preserve"> the </w:t>
      </w:r>
      <w:proofErr w:type="spellStart"/>
      <w:r w:rsidR="003A1C89" w:rsidRPr="00A2298B">
        <w:rPr>
          <w:bCs/>
        </w:rPr>
        <w:t>CWIP</w:t>
      </w:r>
      <w:proofErr w:type="spellEnd"/>
      <w:r w:rsidR="003A1C89" w:rsidRPr="00A2298B">
        <w:rPr>
          <w:bCs/>
        </w:rPr>
        <w:t xml:space="preserve"> balance </w:t>
      </w:r>
      <w:r w:rsidR="007F573B" w:rsidRPr="00A2298B">
        <w:rPr>
          <w:bCs/>
        </w:rPr>
        <w:t xml:space="preserve">as the </w:t>
      </w:r>
      <w:proofErr w:type="spellStart"/>
      <w:r w:rsidR="007F573B" w:rsidRPr="00A2298B">
        <w:rPr>
          <w:bCs/>
        </w:rPr>
        <w:t>TPG</w:t>
      </w:r>
      <w:proofErr w:type="spellEnd"/>
      <w:r w:rsidR="007F573B" w:rsidRPr="00A2298B">
        <w:rPr>
          <w:bCs/>
        </w:rPr>
        <w:t xml:space="preserve"> payments were made </w:t>
      </w:r>
      <w:r w:rsidR="003A1C89" w:rsidRPr="00A2298B">
        <w:rPr>
          <w:bCs/>
        </w:rPr>
        <w:t>and issue</w:t>
      </w:r>
      <w:r w:rsidR="007F573B" w:rsidRPr="00A2298B">
        <w:rPr>
          <w:bCs/>
        </w:rPr>
        <w:t>d</w:t>
      </w:r>
      <w:r w:rsidR="003A1C89" w:rsidRPr="00A2298B">
        <w:rPr>
          <w:bCs/>
        </w:rPr>
        <w:t xml:space="preserve"> the three $25 customer refunds as directed by the Commission.</w:t>
      </w:r>
      <w:r w:rsidR="003A1C89">
        <w:rPr>
          <w:bCs/>
        </w:rPr>
        <w:t xml:space="preserve"> </w:t>
      </w:r>
      <w:r w:rsidR="007F7850">
        <w:rPr>
          <w:bCs/>
        </w:rPr>
        <w:t>No language</w:t>
      </w:r>
      <w:r>
        <w:rPr>
          <w:bCs/>
        </w:rPr>
        <w:t xml:space="preserve"> in the VCM 17 Order suggested that </w:t>
      </w:r>
      <w:r w:rsidR="007F7850">
        <w:rPr>
          <w:bCs/>
        </w:rPr>
        <w:t>any portion of the</w:t>
      </w:r>
      <w:r w:rsidR="007A6F1C">
        <w:rPr>
          <w:bCs/>
        </w:rPr>
        <w:t xml:space="preserve"> </w:t>
      </w:r>
      <w:proofErr w:type="spellStart"/>
      <w:r w:rsidR="003A1C89">
        <w:rPr>
          <w:bCs/>
        </w:rPr>
        <w:t>TPG</w:t>
      </w:r>
      <w:proofErr w:type="spellEnd"/>
      <w:r>
        <w:rPr>
          <w:bCs/>
        </w:rPr>
        <w:t xml:space="preserve"> </w:t>
      </w:r>
      <w:r w:rsidR="0043015F">
        <w:rPr>
          <w:bCs/>
        </w:rPr>
        <w:t xml:space="preserve">should </w:t>
      </w:r>
      <w:r w:rsidR="003A1C89">
        <w:rPr>
          <w:bCs/>
        </w:rPr>
        <w:t xml:space="preserve">later </w:t>
      </w:r>
      <w:r>
        <w:rPr>
          <w:bCs/>
        </w:rPr>
        <w:t>reduce the amount of the Unit 3 and Common costs deemed prudent in the SIR Stipulation that could be recovered in base rates when Unit 3 achieved Commercial Operation.</w:t>
      </w:r>
      <w:r w:rsidR="0041457D">
        <w:rPr>
          <w:bCs/>
        </w:rPr>
        <w:t xml:space="preserve"> </w:t>
      </w:r>
      <w:r w:rsidR="000964A6">
        <w:rPr>
          <w:bCs/>
        </w:rPr>
        <w:t>Moreover</w:t>
      </w:r>
      <w:r w:rsidR="005E3B5E">
        <w:rPr>
          <w:bCs/>
        </w:rPr>
        <w:t xml:space="preserve">, </w:t>
      </w:r>
      <w:r w:rsidR="00890A16">
        <w:rPr>
          <w:bCs/>
        </w:rPr>
        <w:t xml:space="preserve">through its subsequent approvals of four separate NCCR tariff revisions, </w:t>
      </w:r>
      <w:r w:rsidR="005E3B5E">
        <w:rPr>
          <w:bCs/>
        </w:rPr>
        <w:t xml:space="preserve">the Commission </w:t>
      </w:r>
      <w:r w:rsidR="00E34BB9">
        <w:rPr>
          <w:bCs/>
        </w:rPr>
        <w:t xml:space="preserve">clearly </w:t>
      </w:r>
      <w:r w:rsidR="005E3B5E">
        <w:rPr>
          <w:bCs/>
        </w:rPr>
        <w:t xml:space="preserve">has already approved the Company’s application of the </w:t>
      </w:r>
      <w:proofErr w:type="spellStart"/>
      <w:r w:rsidR="005E3B5E">
        <w:rPr>
          <w:bCs/>
        </w:rPr>
        <w:t>TPG</w:t>
      </w:r>
      <w:proofErr w:type="spellEnd"/>
      <w:r w:rsidR="005E3B5E">
        <w:rPr>
          <w:bCs/>
        </w:rPr>
        <w:t xml:space="preserve"> proceeds to reduce </w:t>
      </w:r>
      <w:proofErr w:type="spellStart"/>
      <w:r w:rsidR="005E3B5E">
        <w:rPr>
          <w:bCs/>
        </w:rPr>
        <w:t>CWIP</w:t>
      </w:r>
      <w:proofErr w:type="spellEnd"/>
      <w:r w:rsidR="005E3B5E">
        <w:rPr>
          <w:bCs/>
        </w:rPr>
        <w:t>.</w:t>
      </w:r>
    </w:p>
    <w:p w14:paraId="71EAF97B" w14:textId="07B9ED55" w:rsidR="00C40214" w:rsidRDefault="00C40214" w:rsidP="00F36CA0">
      <w:pPr>
        <w:pStyle w:val="BodyText"/>
        <w:spacing w:before="0" w:after="240" w:line="360" w:lineRule="auto"/>
        <w:ind w:left="720" w:hanging="720"/>
        <w:rPr>
          <w:b/>
        </w:rPr>
      </w:pPr>
      <w:r w:rsidRPr="00ED2B97">
        <w:rPr>
          <w:b/>
        </w:rPr>
        <w:t>Q.</w:t>
      </w:r>
      <w:r w:rsidRPr="00ED2B97">
        <w:rPr>
          <w:b/>
        </w:rPr>
        <w:tab/>
      </w:r>
      <w:r>
        <w:rPr>
          <w:b/>
        </w:rPr>
        <w:t>IS THE COMPANY’S REQUEST TO TRANSFER THE UNIT 3 AND COMMON PORTION OF THE DEEMED PRUDENT AMOUNT</w:t>
      </w:r>
      <w:r w:rsidR="00A7311C">
        <w:rPr>
          <w:b/>
        </w:rPr>
        <w:t xml:space="preserve"> WITHOUT REDUCTION FOR THE </w:t>
      </w:r>
      <w:proofErr w:type="spellStart"/>
      <w:r w:rsidR="00A7311C">
        <w:rPr>
          <w:b/>
        </w:rPr>
        <w:t>TPG</w:t>
      </w:r>
      <w:proofErr w:type="spellEnd"/>
      <w:r w:rsidR="00A7311C">
        <w:rPr>
          <w:b/>
        </w:rPr>
        <w:t xml:space="preserve"> PROCEEDS</w:t>
      </w:r>
      <w:r>
        <w:rPr>
          <w:b/>
        </w:rPr>
        <w:t xml:space="preserve"> IN </w:t>
      </w:r>
      <w:r w:rsidR="00A7311C">
        <w:rPr>
          <w:b/>
        </w:rPr>
        <w:t xml:space="preserve">CONFLICT WITH </w:t>
      </w:r>
      <w:r>
        <w:rPr>
          <w:b/>
        </w:rPr>
        <w:t xml:space="preserve">THE VCM 17 ORDER AS CLAIMED BY </w:t>
      </w:r>
      <w:r w:rsidR="0043015F">
        <w:rPr>
          <w:b/>
        </w:rPr>
        <w:t xml:space="preserve">PIA </w:t>
      </w:r>
      <w:r>
        <w:rPr>
          <w:b/>
        </w:rPr>
        <w:t xml:space="preserve">STAFF? </w:t>
      </w:r>
    </w:p>
    <w:p w14:paraId="5E71D473" w14:textId="439AB83B" w:rsidR="00C40214" w:rsidRDefault="00C40214" w:rsidP="00F36CA0">
      <w:pPr>
        <w:pStyle w:val="BodyText"/>
        <w:spacing w:before="0" w:after="240" w:line="360" w:lineRule="auto"/>
        <w:ind w:left="720" w:hanging="720"/>
        <w:rPr>
          <w:bCs/>
        </w:rPr>
      </w:pPr>
      <w:r w:rsidRPr="00031A62">
        <w:rPr>
          <w:bCs/>
        </w:rPr>
        <w:t>A.</w:t>
      </w:r>
      <w:r w:rsidRPr="00031A62">
        <w:rPr>
          <w:bCs/>
        </w:rPr>
        <w:tab/>
      </w:r>
      <w:r>
        <w:rPr>
          <w:bCs/>
        </w:rPr>
        <w:t xml:space="preserve">No. The VCM 17 Order </w:t>
      </w:r>
      <w:r w:rsidR="007F7850">
        <w:rPr>
          <w:bCs/>
        </w:rPr>
        <w:t>explicitly</w:t>
      </w:r>
      <w:r>
        <w:rPr>
          <w:bCs/>
        </w:rPr>
        <w:t xml:space="preserve"> </w:t>
      </w:r>
      <w:r w:rsidR="007F7850">
        <w:rPr>
          <w:bCs/>
        </w:rPr>
        <w:t>addressed how the Company was to apply</w:t>
      </w:r>
      <w:r>
        <w:rPr>
          <w:bCs/>
        </w:rPr>
        <w:t xml:space="preserve"> the </w:t>
      </w:r>
      <w:proofErr w:type="spellStart"/>
      <w:r w:rsidR="00A7311C">
        <w:rPr>
          <w:bCs/>
        </w:rPr>
        <w:t>TPG</w:t>
      </w:r>
      <w:proofErr w:type="spellEnd"/>
      <w:r w:rsidR="007F7850">
        <w:rPr>
          <w:bCs/>
        </w:rPr>
        <w:t xml:space="preserve"> to provide for the immediate benefit of customers</w:t>
      </w:r>
      <w:r w:rsidR="007A4BEB">
        <w:rPr>
          <w:bCs/>
        </w:rPr>
        <w:t>,</w:t>
      </w:r>
      <w:r>
        <w:rPr>
          <w:bCs/>
        </w:rPr>
        <w:t xml:space="preserve"> and the Company has already reduced the </w:t>
      </w:r>
      <w:proofErr w:type="spellStart"/>
      <w:r>
        <w:rPr>
          <w:bCs/>
        </w:rPr>
        <w:t>CWIP</w:t>
      </w:r>
      <w:proofErr w:type="spellEnd"/>
      <w:r>
        <w:rPr>
          <w:bCs/>
        </w:rPr>
        <w:t xml:space="preserve"> balance as directed by the Commission. </w:t>
      </w:r>
      <w:r w:rsidR="008E3A23">
        <w:rPr>
          <w:bCs/>
        </w:rPr>
        <w:t xml:space="preserve">PIA </w:t>
      </w:r>
      <w:r w:rsidR="007F7850" w:rsidRPr="007F7850">
        <w:rPr>
          <w:bCs/>
        </w:rPr>
        <w:t xml:space="preserve">Staff’s proposal to reduce the Unit 3 and Common portion of the deemed prudent amount to be recovered in base rates by the </w:t>
      </w:r>
      <w:proofErr w:type="spellStart"/>
      <w:r w:rsidR="007F7850" w:rsidRPr="007F7850">
        <w:rPr>
          <w:bCs/>
        </w:rPr>
        <w:t>TPG</w:t>
      </w:r>
      <w:proofErr w:type="spellEnd"/>
      <w:r w:rsidR="007F7850" w:rsidRPr="007F7850">
        <w:rPr>
          <w:bCs/>
        </w:rPr>
        <w:t xml:space="preserve"> </w:t>
      </w:r>
      <w:r w:rsidR="006F717D">
        <w:rPr>
          <w:bCs/>
        </w:rPr>
        <w:t>is not supported by the language</w:t>
      </w:r>
      <w:r w:rsidR="007F7850" w:rsidRPr="007F7850">
        <w:rPr>
          <w:bCs/>
        </w:rPr>
        <w:t xml:space="preserve"> in the VCM 17 Order. </w:t>
      </w:r>
      <w:r w:rsidR="007F7850">
        <w:rPr>
          <w:bCs/>
        </w:rPr>
        <w:t>T</w:t>
      </w:r>
      <w:r>
        <w:rPr>
          <w:bCs/>
        </w:rPr>
        <w:t xml:space="preserve">he Commission could have </w:t>
      </w:r>
      <w:r w:rsidR="00136F4A">
        <w:rPr>
          <w:bCs/>
        </w:rPr>
        <w:t>directed</w:t>
      </w:r>
      <w:r>
        <w:rPr>
          <w:bCs/>
        </w:rPr>
        <w:t xml:space="preserve"> that </w:t>
      </w:r>
      <w:r w:rsidR="006F717D" w:rsidRPr="006F717D">
        <w:rPr>
          <w:bCs/>
        </w:rPr>
        <w:t xml:space="preserve">the amounts to be moved into rate base for Unit 3 and Common </w:t>
      </w:r>
      <w:r>
        <w:rPr>
          <w:bCs/>
        </w:rPr>
        <w:t xml:space="preserve">would be reduced by the </w:t>
      </w:r>
      <w:proofErr w:type="spellStart"/>
      <w:r w:rsidR="00A7311C">
        <w:rPr>
          <w:bCs/>
        </w:rPr>
        <w:t>TPG</w:t>
      </w:r>
      <w:proofErr w:type="spellEnd"/>
      <w:r>
        <w:rPr>
          <w:bCs/>
        </w:rPr>
        <w:t>. But</w:t>
      </w:r>
      <w:r w:rsidR="0017538D">
        <w:rPr>
          <w:bCs/>
        </w:rPr>
        <w:t xml:space="preserve"> </w:t>
      </w:r>
      <w:r>
        <w:rPr>
          <w:bCs/>
        </w:rPr>
        <w:t xml:space="preserve">it did not. </w:t>
      </w:r>
      <w:r w:rsidR="00BA38B1" w:rsidRPr="00BA38B1">
        <w:rPr>
          <w:bCs/>
        </w:rPr>
        <w:t xml:space="preserve">The </w:t>
      </w:r>
      <w:proofErr w:type="spellStart"/>
      <w:r w:rsidR="00BA38B1" w:rsidRPr="00BA38B1">
        <w:rPr>
          <w:bCs/>
        </w:rPr>
        <w:t>TPG</w:t>
      </w:r>
      <w:proofErr w:type="spellEnd"/>
      <w:r w:rsidR="00BA38B1" w:rsidRPr="00BA38B1">
        <w:rPr>
          <w:bCs/>
        </w:rPr>
        <w:t xml:space="preserve"> does not, and should not, reduce the amount that the Commission has already deemed prudent. </w:t>
      </w:r>
      <w:r w:rsidR="0073359F" w:rsidRPr="0073359F">
        <w:rPr>
          <w:bCs/>
        </w:rPr>
        <w:t xml:space="preserve">The costs that were deemed prudent in the SIR Stipulation were incurred as of December </w:t>
      </w:r>
      <w:r w:rsidR="00EB4C13">
        <w:rPr>
          <w:bCs/>
        </w:rPr>
        <w:t xml:space="preserve">31, </w:t>
      </w:r>
      <w:r w:rsidR="0073359F" w:rsidRPr="0073359F">
        <w:rPr>
          <w:bCs/>
        </w:rPr>
        <w:t xml:space="preserve">2015, and the </w:t>
      </w:r>
      <w:proofErr w:type="spellStart"/>
      <w:r w:rsidR="0073359F" w:rsidRPr="0073359F">
        <w:rPr>
          <w:bCs/>
        </w:rPr>
        <w:t>TPG</w:t>
      </w:r>
      <w:proofErr w:type="spellEnd"/>
      <w:r w:rsidR="0073359F" w:rsidRPr="0073359F">
        <w:rPr>
          <w:bCs/>
        </w:rPr>
        <w:t xml:space="preserve"> was accounted for </w:t>
      </w:r>
      <w:r w:rsidR="005E3B5E">
        <w:rPr>
          <w:bCs/>
        </w:rPr>
        <w:t xml:space="preserve">two years later </w:t>
      </w:r>
      <w:r w:rsidR="0073359F" w:rsidRPr="0073359F">
        <w:rPr>
          <w:bCs/>
        </w:rPr>
        <w:t xml:space="preserve">in the VCM 17 Order and utilized for its intended purpose of reducing future costs of </w:t>
      </w:r>
      <w:r w:rsidR="00136F4A">
        <w:rPr>
          <w:bCs/>
        </w:rPr>
        <w:t>the Project</w:t>
      </w:r>
      <w:r w:rsidR="0073359F" w:rsidRPr="0073359F">
        <w:rPr>
          <w:bCs/>
        </w:rPr>
        <w:t xml:space="preserve"> in the absence of a fixed and firm priced construction contract. </w:t>
      </w:r>
      <w:r w:rsidR="007A6F1C">
        <w:rPr>
          <w:bCs/>
        </w:rPr>
        <w:t xml:space="preserve">PIA </w:t>
      </w:r>
      <w:r>
        <w:rPr>
          <w:bCs/>
        </w:rPr>
        <w:t xml:space="preserve">Staff’s attempt to </w:t>
      </w:r>
      <w:r w:rsidR="00A45DD8">
        <w:rPr>
          <w:bCs/>
        </w:rPr>
        <w:t>apply</w:t>
      </w:r>
      <w:r>
        <w:rPr>
          <w:bCs/>
        </w:rPr>
        <w:t xml:space="preserve"> the </w:t>
      </w:r>
      <w:proofErr w:type="spellStart"/>
      <w:r w:rsidR="00A7311C">
        <w:rPr>
          <w:bCs/>
        </w:rPr>
        <w:t>TPG</w:t>
      </w:r>
      <w:proofErr w:type="spellEnd"/>
      <w:r w:rsidR="00547319">
        <w:rPr>
          <w:bCs/>
        </w:rPr>
        <w:t xml:space="preserve"> again</w:t>
      </w:r>
      <w:r w:rsidR="00BC5F97">
        <w:rPr>
          <w:bCs/>
        </w:rPr>
        <w:t>,</w:t>
      </w:r>
      <w:r>
        <w:rPr>
          <w:bCs/>
        </w:rPr>
        <w:t xml:space="preserve"> to </w:t>
      </w:r>
      <w:r w:rsidR="00A7311C">
        <w:rPr>
          <w:bCs/>
        </w:rPr>
        <w:t xml:space="preserve">further </w:t>
      </w:r>
      <w:r>
        <w:rPr>
          <w:bCs/>
        </w:rPr>
        <w:t xml:space="preserve">reduce the capital costs eligible for </w:t>
      </w:r>
      <w:r>
        <w:rPr>
          <w:bCs/>
        </w:rPr>
        <w:lastRenderedPageBreak/>
        <w:t>recovery upon Unit 3 Commercial Operation</w:t>
      </w:r>
      <w:r w:rsidR="00547319">
        <w:rPr>
          <w:bCs/>
        </w:rPr>
        <w:t>,</w:t>
      </w:r>
      <w:r>
        <w:rPr>
          <w:bCs/>
        </w:rPr>
        <w:t xml:space="preserve"> is contrary to </w:t>
      </w:r>
      <w:r w:rsidR="0043015F">
        <w:rPr>
          <w:bCs/>
        </w:rPr>
        <w:t>a plain reading of</w:t>
      </w:r>
      <w:r>
        <w:rPr>
          <w:bCs/>
        </w:rPr>
        <w:t xml:space="preserve"> the VCM 17 Order.</w:t>
      </w:r>
    </w:p>
    <w:p w14:paraId="50718DB7" w14:textId="77777777" w:rsidR="007A6F1C" w:rsidRPr="007A6F1C" w:rsidRDefault="007A6F1C" w:rsidP="00F36CA0">
      <w:pPr>
        <w:pStyle w:val="BodyText"/>
        <w:spacing w:line="360" w:lineRule="auto"/>
        <w:ind w:left="720" w:hanging="720"/>
        <w:rPr>
          <w:b/>
        </w:rPr>
      </w:pPr>
      <w:r w:rsidRPr="007A6F1C">
        <w:rPr>
          <w:b/>
        </w:rPr>
        <w:t>Q.</w:t>
      </w:r>
      <w:r w:rsidRPr="007A6F1C">
        <w:rPr>
          <w:b/>
        </w:rPr>
        <w:tab/>
        <w:t xml:space="preserve">WHAT OTHER ADJUSTMENTS ARE INCLUDED IN PIA STAFF’S RECOMMENDATION OF THE DEEMED PRUDENT AMOUNT OF CAPITAL COST? </w:t>
      </w:r>
    </w:p>
    <w:p w14:paraId="2F5683F7" w14:textId="6FFC590D" w:rsidR="007A6F1C" w:rsidRPr="005E3B5E" w:rsidRDefault="007A6F1C" w:rsidP="00F36CA0">
      <w:pPr>
        <w:pStyle w:val="BodyText"/>
        <w:spacing w:after="240" w:line="360" w:lineRule="auto"/>
        <w:ind w:left="720" w:hanging="720"/>
      </w:pPr>
      <w:r w:rsidRPr="005E3B5E">
        <w:t>A.</w:t>
      </w:r>
      <w:r w:rsidRPr="005E3B5E">
        <w:tab/>
        <w:t xml:space="preserve">PIA Staff recommends </w:t>
      </w:r>
      <w:r w:rsidR="008C5586">
        <w:t xml:space="preserve">that </w:t>
      </w:r>
      <w:r w:rsidRPr="005E3B5E">
        <w:t xml:space="preserve">64 percent of the </w:t>
      </w:r>
      <w:r w:rsidR="005E3B5E">
        <w:t xml:space="preserve">total </w:t>
      </w:r>
      <w:r w:rsidRPr="005E3B5E">
        <w:t>deemed prudent amount be allocated to Unit 3 and Common</w:t>
      </w:r>
      <w:r w:rsidR="005E3B5E">
        <w:t xml:space="preserve"> facilities</w:t>
      </w:r>
      <w:r w:rsidRPr="005E3B5E">
        <w:t xml:space="preserve">. In addition, PIA Staff has excluded from the deemed prudent amount the construction monitoring costs and reduced the amount of </w:t>
      </w:r>
      <w:r w:rsidR="00EB4C13">
        <w:t xml:space="preserve">the </w:t>
      </w:r>
      <w:r w:rsidRPr="005E3B5E">
        <w:t xml:space="preserve">Westinghouse settlement payments incurred after December 31, 2015 from $54 million to $36 million. </w:t>
      </w:r>
    </w:p>
    <w:p w14:paraId="72102DC4" w14:textId="41B0E4FD" w:rsidR="0063190F" w:rsidRDefault="0063190F" w:rsidP="00F36CA0">
      <w:pPr>
        <w:pStyle w:val="BodyText"/>
        <w:spacing w:before="0" w:after="240" w:line="360" w:lineRule="auto"/>
        <w:ind w:left="720" w:hanging="720"/>
        <w:rPr>
          <w:b/>
        </w:rPr>
      </w:pPr>
      <w:r w:rsidRPr="00ED2B97">
        <w:rPr>
          <w:b/>
        </w:rPr>
        <w:t>Q.</w:t>
      </w:r>
      <w:r w:rsidRPr="00ED2B97">
        <w:rPr>
          <w:b/>
        </w:rPr>
        <w:tab/>
      </w:r>
      <w:r w:rsidR="00DA7F63">
        <w:rPr>
          <w:b/>
        </w:rPr>
        <w:t xml:space="preserve">IS IT </w:t>
      </w:r>
      <w:r w:rsidR="0017538D">
        <w:rPr>
          <w:b/>
        </w:rPr>
        <w:t>REASONABLE</w:t>
      </w:r>
      <w:r w:rsidR="00F130C3">
        <w:rPr>
          <w:b/>
        </w:rPr>
        <w:t xml:space="preserve"> </w:t>
      </w:r>
      <w:r w:rsidR="00CB7E66">
        <w:rPr>
          <w:b/>
        </w:rPr>
        <w:t>FOR THE COMPANY TO</w:t>
      </w:r>
      <w:r w:rsidR="00F130C3">
        <w:rPr>
          <w:b/>
        </w:rPr>
        <w:t xml:space="preserve"> ASSUME THAT </w:t>
      </w:r>
      <w:r w:rsidR="00897D0B">
        <w:rPr>
          <w:b/>
        </w:rPr>
        <w:t xml:space="preserve">TWO-THIRDS OF THE AMOUNT DEEMED PRUDENT IN THE SIR STIPULATION IS ATTRIBUTED TO </w:t>
      </w:r>
      <w:r w:rsidR="00F130C3">
        <w:rPr>
          <w:b/>
        </w:rPr>
        <w:t xml:space="preserve">UNIT 3 AND COMMON </w:t>
      </w:r>
      <w:r w:rsidR="00897D0B">
        <w:rPr>
          <w:b/>
        </w:rPr>
        <w:t>FACILITIES</w:t>
      </w:r>
      <w:r w:rsidR="00F130C3">
        <w:rPr>
          <w:b/>
        </w:rPr>
        <w:t>?</w:t>
      </w:r>
    </w:p>
    <w:p w14:paraId="71B89DCE" w14:textId="0A50581A" w:rsidR="0063190F" w:rsidRDefault="0063190F" w:rsidP="00F36CA0">
      <w:pPr>
        <w:pStyle w:val="BodyText"/>
        <w:spacing w:before="0" w:after="240" w:line="360" w:lineRule="auto"/>
        <w:ind w:left="720" w:hanging="720"/>
        <w:rPr>
          <w:bCs/>
        </w:rPr>
      </w:pPr>
      <w:r w:rsidRPr="00031A62">
        <w:rPr>
          <w:bCs/>
        </w:rPr>
        <w:t>A.</w:t>
      </w:r>
      <w:r w:rsidRPr="00031A62">
        <w:rPr>
          <w:bCs/>
        </w:rPr>
        <w:tab/>
      </w:r>
      <w:r w:rsidR="008C5586" w:rsidRPr="008C5586">
        <w:rPr>
          <w:bCs/>
        </w:rPr>
        <w:t xml:space="preserve">Yes. The simplified two-thirds ratio to identify the portion of the capital costs deemed prudent in the SIR Stipulation related to Unit 3 and Common is a reasonable assumption and has been consistently applied by the Company since the VCM 17 Order. This ratio has been used in every rate impact and revenue requirement </w:t>
      </w:r>
      <w:r w:rsidR="006977C6" w:rsidRPr="008C5586">
        <w:rPr>
          <w:bCs/>
        </w:rPr>
        <w:t>analys</w:t>
      </w:r>
      <w:r w:rsidR="006977C6">
        <w:rPr>
          <w:bCs/>
        </w:rPr>
        <w:t>i</w:t>
      </w:r>
      <w:r w:rsidR="006977C6" w:rsidRPr="008C5586">
        <w:rPr>
          <w:bCs/>
        </w:rPr>
        <w:t xml:space="preserve">s </w:t>
      </w:r>
      <w:r w:rsidR="008C5586" w:rsidRPr="008C5586">
        <w:rPr>
          <w:bCs/>
        </w:rPr>
        <w:t>submitted in the VCM filings to illustrate the impacts of the VCM 17 Order.</w:t>
      </w:r>
    </w:p>
    <w:p w14:paraId="10FD2632" w14:textId="77777777" w:rsidR="007A6F1C" w:rsidRPr="007A6F1C" w:rsidRDefault="007A6F1C" w:rsidP="00F36CA0">
      <w:pPr>
        <w:pStyle w:val="BodyText"/>
        <w:spacing w:line="360" w:lineRule="auto"/>
        <w:ind w:left="720" w:hanging="720"/>
        <w:rPr>
          <w:rFonts w:eastAsia="MS Mincho"/>
          <w:b/>
          <w:bCs/>
          <w:szCs w:val="20"/>
          <w:lang w:eastAsia="en-US"/>
        </w:rPr>
      </w:pPr>
      <w:r w:rsidRPr="007A6F1C">
        <w:rPr>
          <w:rFonts w:eastAsia="MS Mincho"/>
          <w:b/>
          <w:bCs/>
          <w:szCs w:val="20"/>
          <w:lang w:eastAsia="en-US"/>
        </w:rPr>
        <w:t>Q.</w:t>
      </w:r>
      <w:r w:rsidRPr="007A6F1C">
        <w:rPr>
          <w:rFonts w:eastAsia="MS Mincho"/>
          <w:b/>
          <w:bCs/>
          <w:szCs w:val="20"/>
          <w:lang w:eastAsia="en-US"/>
        </w:rPr>
        <w:tab/>
        <w:t>WHY SHOULD THE CONSTRUCTION MONITORING COSTS BE INCLUDED IN THE DEEMED PRUDENT AMOUNT TO BE TRANSFERRED TO BASE RATES?</w:t>
      </w:r>
    </w:p>
    <w:p w14:paraId="5AAF02B6" w14:textId="519545CA" w:rsidR="007A6F1C" w:rsidRPr="007A6F1C" w:rsidRDefault="007A6F1C" w:rsidP="00F36CA0">
      <w:pPr>
        <w:pStyle w:val="BodyText"/>
        <w:spacing w:line="360" w:lineRule="auto"/>
        <w:ind w:left="720" w:hanging="720"/>
        <w:rPr>
          <w:rFonts w:eastAsia="MS Mincho"/>
          <w:bCs/>
          <w:szCs w:val="20"/>
          <w:lang w:eastAsia="en-US"/>
        </w:rPr>
      </w:pPr>
      <w:r w:rsidRPr="007A6F1C">
        <w:rPr>
          <w:rFonts w:eastAsia="MS Mincho"/>
          <w:bCs/>
          <w:szCs w:val="20"/>
          <w:lang w:eastAsia="en-US"/>
        </w:rPr>
        <w:t>A</w:t>
      </w:r>
      <w:r w:rsidR="00547319">
        <w:rPr>
          <w:rFonts w:eastAsia="MS Mincho"/>
          <w:bCs/>
          <w:szCs w:val="20"/>
          <w:lang w:eastAsia="en-US"/>
        </w:rPr>
        <w:t>.</w:t>
      </w:r>
      <w:r w:rsidRPr="007A6F1C">
        <w:rPr>
          <w:rFonts w:eastAsia="MS Mincho"/>
          <w:bCs/>
          <w:szCs w:val="20"/>
          <w:lang w:eastAsia="en-US"/>
        </w:rPr>
        <w:tab/>
        <w:t xml:space="preserve">The construction monitoring costs </w:t>
      </w:r>
      <w:r w:rsidR="001272DA">
        <w:rPr>
          <w:rFonts w:eastAsia="MS Mincho"/>
          <w:bCs/>
          <w:szCs w:val="20"/>
          <w:lang w:eastAsia="en-US"/>
        </w:rPr>
        <w:t>were</w:t>
      </w:r>
      <w:r w:rsidRPr="007A6F1C">
        <w:rPr>
          <w:rFonts w:eastAsia="MS Mincho"/>
          <w:bCs/>
          <w:szCs w:val="20"/>
          <w:lang w:eastAsia="en-US"/>
        </w:rPr>
        <w:t xml:space="preserve"> approved by the Commission as reasonable and prudent in the VCM 19 Order. Therefore, the Company has appropriately included the </w:t>
      </w:r>
      <w:r w:rsidR="00BF0F65">
        <w:rPr>
          <w:rFonts w:eastAsia="MS Mincho"/>
          <w:bCs/>
          <w:szCs w:val="20"/>
          <w:lang w:eastAsia="en-US"/>
        </w:rPr>
        <w:t>construction monitoring costs</w:t>
      </w:r>
      <w:r w:rsidRPr="007A6F1C">
        <w:rPr>
          <w:rFonts w:eastAsia="MS Mincho"/>
          <w:bCs/>
          <w:szCs w:val="20"/>
          <w:lang w:eastAsia="en-US"/>
        </w:rPr>
        <w:t xml:space="preserve"> incurred through December 31, 2015 in the capital cost to be transferred to base rates.</w:t>
      </w:r>
    </w:p>
    <w:p w14:paraId="0707E2F4" w14:textId="77777777" w:rsidR="007A6F1C" w:rsidRPr="007A6F1C" w:rsidRDefault="007A6F1C" w:rsidP="00F36CA0">
      <w:pPr>
        <w:pStyle w:val="BodyText"/>
        <w:spacing w:line="360" w:lineRule="auto"/>
        <w:ind w:left="720" w:hanging="720"/>
        <w:rPr>
          <w:rFonts w:eastAsia="MS Mincho"/>
          <w:b/>
          <w:bCs/>
          <w:szCs w:val="20"/>
          <w:lang w:eastAsia="en-US"/>
        </w:rPr>
      </w:pPr>
      <w:r w:rsidRPr="007A6F1C">
        <w:rPr>
          <w:rFonts w:eastAsia="MS Mincho"/>
          <w:b/>
          <w:bCs/>
          <w:szCs w:val="20"/>
          <w:lang w:eastAsia="en-US"/>
        </w:rPr>
        <w:lastRenderedPageBreak/>
        <w:t>Q.</w:t>
      </w:r>
      <w:r w:rsidRPr="007A6F1C">
        <w:rPr>
          <w:rFonts w:eastAsia="MS Mincho"/>
          <w:b/>
          <w:bCs/>
          <w:szCs w:val="20"/>
          <w:lang w:eastAsia="en-US"/>
        </w:rPr>
        <w:tab/>
        <w:t>IS IT APPROPRIATE TO REDUCE THE AMOUNT OF WESTINGHOUSE SETTLEMENT COSTS INCURRED AFTER DECEMBER 31, 2015 BY $18 MILLION?</w:t>
      </w:r>
    </w:p>
    <w:p w14:paraId="549A4E28" w14:textId="1A5DC42F" w:rsidR="007A6F1C" w:rsidRDefault="007A6F1C" w:rsidP="005007EC">
      <w:pPr>
        <w:pStyle w:val="BodyText"/>
        <w:spacing w:after="240" w:line="360" w:lineRule="auto"/>
        <w:ind w:left="720" w:hanging="720"/>
        <w:rPr>
          <w:rFonts w:eastAsia="MS Mincho"/>
          <w:bCs/>
          <w:szCs w:val="20"/>
          <w:lang w:eastAsia="en-US"/>
        </w:rPr>
      </w:pPr>
      <w:r w:rsidRPr="007A6F1C">
        <w:rPr>
          <w:rFonts w:eastAsia="MS Mincho"/>
          <w:bCs/>
          <w:szCs w:val="20"/>
          <w:lang w:eastAsia="en-US"/>
        </w:rPr>
        <w:t>A</w:t>
      </w:r>
      <w:r w:rsidR="001272DA">
        <w:rPr>
          <w:rFonts w:eastAsia="MS Mincho"/>
          <w:bCs/>
          <w:szCs w:val="20"/>
          <w:lang w:eastAsia="en-US"/>
        </w:rPr>
        <w:t>.</w:t>
      </w:r>
      <w:r w:rsidRPr="007A6F1C">
        <w:rPr>
          <w:rFonts w:eastAsia="MS Mincho"/>
          <w:bCs/>
          <w:szCs w:val="20"/>
          <w:lang w:eastAsia="en-US"/>
        </w:rPr>
        <w:tab/>
        <w:t xml:space="preserve">No. PIA Staff has not provided an appropriate reason for the adjustment. The SIR Order provided </w:t>
      </w:r>
      <w:r w:rsidR="00F93965">
        <w:rPr>
          <w:rFonts w:eastAsia="MS Mincho"/>
          <w:bCs/>
          <w:szCs w:val="20"/>
          <w:lang w:eastAsia="en-US"/>
        </w:rPr>
        <w:t xml:space="preserve">that </w:t>
      </w:r>
      <w:r w:rsidRPr="007A6F1C">
        <w:rPr>
          <w:rFonts w:eastAsia="MS Mincho"/>
          <w:bCs/>
          <w:szCs w:val="20"/>
          <w:lang w:eastAsia="en-US"/>
        </w:rPr>
        <w:t xml:space="preserve">all Westinghouse settlement costs </w:t>
      </w:r>
      <w:r w:rsidR="00F93965">
        <w:rPr>
          <w:rFonts w:eastAsia="MS Mincho"/>
          <w:bCs/>
          <w:szCs w:val="20"/>
          <w:lang w:eastAsia="en-US"/>
        </w:rPr>
        <w:t>were</w:t>
      </w:r>
      <w:r w:rsidRPr="007A6F1C">
        <w:rPr>
          <w:rFonts w:eastAsia="MS Mincho"/>
          <w:bCs/>
          <w:szCs w:val="20"/>
          <w:lang w:eastAsia="en-US"/>
        </w:rPr>
        <w:t xml:space="preserve"> reasonable and prudent. The $54 million included in the Company’s filing represents the full Westinghouse settlement costs incurred after December 31, 2015 and</w:t>
      </w:r>
      <w:r w:rsidR="00F93965">
        <w:rPr>
          <w:rFonts w:eastAsia="MS Mincho"/>
          <w:bCs/>
          <w:szCs w:val="20"/>
          <w:lang w:eastAsia="en-US"/>
        </w:rPr>
        <w:t>,</w:t>
      </w:r>
      <w:r w:rsidRPr="007A6F1C">
        <w:rPr>
          <w:rFonts w:eastAsia="MS Mincho"/>
          <w:bCs/>
          <w:szCs w:val="20"/>
          <w:lang w:eastAsia="en-US"/>
        </w:rPr>
        <w:t xml:space="preserve"> as such, has been deemed reasonable and prudent by the Commission.</w:t>
      </w:r>
    </w:p>
    <w:p w14:paraId="6B744D27" w14:textId="2A1F2D3D" w:rsidR="00E20BBE" w:rsidRPr="002A22E7" w:rsidRDefault="00E20BBE" w:rsidP="005007EC">
      <w:pPr>
        <w:pStyle w:val="BodyText"/>
        <w:widowControl w:val="0"/>
        <w:spacing w:after="240" w:line="360" w:lineRule="auto"/>
        <w:ind w:left="720" w:hanging="720"/>
        <w:rPr>
          <w:rFonts w:eastAsia="MS Mincho"/>
          <w:b/>
          <w:szCs w:val="20"/>
          <w:lang w:eastAsia="en-US"/>
        </w:rPr>
      </w:pPr>
      <w:r w:rsidRPr="002A22E7">
        <w:rPr>
          <w:rFonts w:eastAsia="MS Mincho"/>
          <w:b/>
          <w:szCs w:val="20"/>
          <w:lang w:eastAsia="en-US"/>
        </w:rPr>
        <w:t>II.</w:t>
      </w:r>
      <w:r w:rsidRPr="002A22E7">
        <w:rPr>
          <w:rFonts w:eastAsia="MS Mincho"/>
          <w:b/>
          <w:szCs w:val="20"/>
          <w:lang w:eastAsia="en-US"/>
        </w:rPr>
        <w:tab/>
      </w:r>
      <w:r w:rsidRPr="002A22E7">
        <w:rPr>
          <w:rFonts w:eastAsia="MS Mincho"/>
          <w:b/>
          <w:szCs w:val="20"/>
          <w:u w:val="single"/>
          <w:lang w:eastAsia="en-US"/>
        </w:rPr>
        <w:t>Recovery of Operating Expenses When Unit 3 Achieves Commercial Operation</w:t>
      </w:r>
    </w:p>
    <w:p w14:paraId="078D1F35" w14:textId="2E0A22E1" w:rsidR="008C7FFC" w:rsidRDefault="008C7FFC" w:rsidP="005007EC">
      <w:pPr>
        <w:pStyle w:val="BodyText"/>
        <w:widowControl w:val="0"/>
        <w:spacing w:before="0" w:after="240" w:line="360" w:lineRule="auto"/>
        <w:ind w:left="720" w:hanging="720"/>
        <w:rPr>
          <w:b/>
        </w:rPr>
      </w:pPr>
      <w:r w:rsidRPr="00ED2B97">
        <w:rPr>
          <w:b/>
        </w:rPr>
        <w:t>Q.</w:t>
      </w:r>
      <w:r w:rsidRPr="00ED2B97">
        <w:rPr>
          <w:b/>
        </w:rPr>
        <w:tab/>
      </w:r>
      <w:r>
        <w:rPr>
          <w:b/>
        </w:rPr>
        <w:t xml:space="preserve">WHY IS </w:t>
      </w:r>
      <w:r w:rsidR="0043015F">
        <w:rPr>
          <w:b/>
        </w:rPr>
        <w:t xml:space="preserve">PIA </w:t>
      </w:r>
      <w:r>
        <w:rPr>
          <w:b/>
        </w:rPr>
        <w:t xml:space="preserve">STAFF’S PRIMARY RECOMMENDATION UNREASONABLE? </w:t>
      </w:r>
    </w:p>
    <w:p w14:paraId="0C8CFD43" w14:textId="39DBB6B3" w:rsidR="008C7FFC" w:rsidRDefault="008C7FFC" w:rsidP="005007EC">
      <w:pPr>
        <w:pStyle w:val="BodyText"/>
        <w:widowControl w:val="0"/>
        <w:spacing w:before="0" w:after="240" w:line="360" w:lineRule="auto"/>
        <w:ind w:left="720" w:hanging="720"/>
        <w:rPr>
          <w:bCs/>
        </w:rPr>
      </w:pPr>
      <w:r w:rsidRPr="00031A62">
        <w:rPr>
          <w:bCs/>
        </w:rPr>
        <w:t>A.</w:t>
      </w:r>
      <w:r w:rsidRPr="00031A62">
        <w:rPr>
          <w:bCs/>
        </w:rPr>
        <w:tab/>
      </w:r>
      <w:r>
        <w:rPr>
          <w:bCs/>
        </w:rPr>
        <w:t xml:space="preserve">As described above, </w:t>
      </w:r>
      <w:r w:rsidR="00AF29BF">
        <w:rPr>
          <w:bCs/>
        </w:rPr>
        <w:t>PIA Staff’s primary recommendation</w:t>
      </w:r>
      <w:r w:rsidR="00685D02">
        <w:rPr>
          <w:bCs/>
        </w:rPr>
        <w:t xml:space="preserve">—to </w:t>
      </w:r>
      <w:r w:rsidR="009F74AC">
        <w:rPr>
          <w:bCs/>
        </w:rPr>
        <w:t>increase base rates by $75 million</w:t>
      </w:r>
      <w:r w:rsidR="00685D02">
        <w:rPr>
          <w:bCs/>
        </w:rPr>
        <w:t xml:space="preserve">—incorrectly </w:t>
      </w:r>
      <w:r w:rsidR="00AF29BF">
        <w:rPr>
          <w:bCs/>
        </w:rPr>
        <w:t xml:space="preserve">subtracts </w:t>
      </w:r>
      <w:r>
        <w:rPr>
          <w:bCs/>
        </w:rPr>
        <w:t xml:space="preserve">the </w:t>
      </w:r>
      <w:proofErr w:type="spellStart"/>
      <w:r w:rsidR="00AF29BF">
        <w:rPr>
          <w:bCs/>
        </w:rPr>
        <w:t>TPG</w:t>
      </w:r>
      <w:proofErr w:type="spellEnd"/>
      <w:r w:rsidR="00AF29BF">
        <w:rPr>
          <w:bCs/>
        </w:rPr>
        <w:t xml:space="preserve"> proceeds</w:t>
      </w:r>
      <w:r w:rsidR="007A6F1C">
        <w:rPr>
          <w:bCs/>
        </w:rPr>
        <w:t>, along with other inappropriate adjustments,</w:t>
      </w:r>
      <w:r w:rsidR="00AF29BF">
        <w:rPr>
          <w:bCs/>
        </w:rPr>
        <w:t xml:space="preserve"> from the Unit 3 and Common portion of the deemed prudent costs eligible for recovery in this case</w:t>
      </w:r>
      <w:r>
        <w:rPr>
          <w:bCs/>
        </w:rPr>
        <w:t xml:space="preserve">. In addition, </w:t>
      </w:r>
      <w:r w:rsidR="00CD1684">
        <w:rPr>
          <w:bCs/>
        </w:rPr>
        <w:t xml:space="preserve">PIA Staff’s primary recommendation </w:t>
      </w:r>
      <w:r>
        <w:rPr>
          <w:bCs/>
        </w:rPr>
        <w:t xml:space="preserve">prohibits the Company from recovering </w:t>
      </w:r>
      <w:r w:rsidR="00071361">
        <w:rPr>
          <w:bCs/>
        </w:rPr>
        <w:t>operating expenses</w:t>
      </w:r>
      <w:r w:rsidR="00CD1684">
        <w:rPr>
          <w:bCs/>
        </w:rPr>
        <w:t xml:space="preserve"> </w:t>
      </w:r>
      <w:r w:rsidR="00675F2F">
        <w:rPr>
          <w:bCs/>
        </w:rPr>
        <w:t>for Unit 3 and Common</w:t>
      </w:r>
      <w:r>
        <w:rPr>
          <w:bCs/>
        </w:rPr>
        <w:t xml:space="preserve"> once the unit has achieved Commercial Operation and is placed in service. </w:t>
      </w:r>
      <w:bookmarkStart w:id="6" w:name="_Hlk83896616"/>
      <w:r w:rsidR="0000153D">
        <w:rPr>
          <w:bCs/>
        </w:rPr>
        <w:t xml:space="preserve">To deny recovery of </w:t>
      </w:r>
      <w:r w:rsidR="00071361">
        <w:rPr>
          <w:bCs/>
        </w:rPr>
        <w:t>operating expenses</w:t>
      </w:r>
      <w:r w:rsidR="00CD1684">
        <w:rPr>
          <w:bCs/>
        </w:rPr>
        <w:t xml:space="preserve"> </w:t>
      </w:r>
      <w:r w:rsidR="0000153D">
        <w:rPr>
          <w:bCs/>
        </w:rPr>
        <w:t>for an operating unit is unreasonable</w:t>
      </w:r>
      <w:r w:rsidR="00AF29BF">
        <w:rPr>
          <w:bCs/>
        </w:rPr>
        <w:t xml:space="preserve"> and contrary to prudent utility ratemaking</w:t>
      </w:r>
      <w:r w:rsidR="0076254A">
        <w:rPr>
          <w:bCs/>
        </w:rPr>
        <w:t>, and PIA Staff has provided no reasonable basis for disallowing these costs</w:t>
      </w:r>
      <w:bookmarkEnd w:id="6"/>
      <w:r w:rsidR="0000153D">
        <w:rPr>
          <w:bCs/>
        </w:rPr>
        <w:t xml:space="preserve">. </w:t>
      </w:r>
    </w:p>
    <w:p w14:paraId="594FF7B7" w14:textId="327C9D21" w:rsidR="008C7FFC" w:rsidRDefault="008C7FFC" w:rsidP="00F36CA0">
      <w:pPr>
        <w:pStyle w:val="BodyText"/>
        <w:spacing w:before="0" w:after="240" w:line="360" w:lineRule="auto"/>
        <w:ind w:left="720" w:hanging="720"/>
        <w:rPr>
          <w:b/>
        </w:rPr>
      </w:pPr>
      <w:r w:rsidRPr="00ED2B97">
        <w:rPr>
          <w:b/>
        </w:rPr>
        <w:t>Q.</w:t>
      </w:r>
      <w:r w:rsidRPr="00ED2B97">
        <w:rPr>
          <w:b/>
        </w:rPr>
        <w:tab/>
      </w:r>
      <w:r w:rsidR="0000153D">
        <w:rPr>
          <w:b/>
        </w:rPr>
        <w:t xml:space="preserve">WHY IS IT APPROPRIATE FOR THE COMPANY TO RECOVER OPERATING </w:t>
      </w:r>
      <w:r w:rsidR="00F90871">
        <w:rPr>
          <w:b/>
        </w:rPr>
        <w:t xml:space="preserve">COSTS </w:t>
      </w:r>
      <w:r w:rsidR="0000153D">
        <w:rPr>
          <w:b/>
        </w:rPr>
        <w:t>WHEN UNIT 3 ACHIEVES COMMERCIAL OPERATION?</w:t>
      </w:r>
      <w:r>
        <w:rPr>
          <w:b/>
        </w:rPr>
        <w:t xml:space="preserve"> </w:t>
      </w:r>
    </w:p>
    <w:p w14:paraId="6BDF1C97" w14:textId="4A0ABD7F" w:rsidR="008C7FFC" w:rsidRPr="00031A62" w:rsidRDefault="008C7FFC" w:rsidP="00F36CA0">
      <w:pPr>
        <w:pStyle w:val="BodyText"/>
        <w:spacing w:before="0" w:after="240" w:line="360" w:lineRule="auto"/>
        <w:ind w:left="720" w:hanging="720"/>
        <w:rPr>
          <w:rFonts w:eastAsia="MS Mincho"/>
          <w:bCs/>
          <w:szCs w:val="20"/>
          <w:lang w:eastAsia="en-US"/>
        </w:rPr>
      </w:pPr>
      <w:r w:rsidRPr="00031A62">
        <w:rPr>
          <w:bCs/>
        </w:rPr>
        <w:t>A.</w:t>
      </w:r>
      <w:r w:rsidRPr="00031A62">
        <w:rPr>
          <w:bCs/>
        </w:rPr>
        <w:tab/>
      </w:r>
      <w:r w:rsidR="0083356A">
        <w:rPr>
          <w:bCs/>
        </w:rPr>
        <w:t>As previously discussed in our Direct Testimony, w</w:t>
      </w:r>
      <w:r w:rsidR="0083356A" w:rsidRPr="0083356A">
        <w:rPr>
          <w:bCs/>
        </w:rPr>
        <w:t>hen Unit 3 achieves Commercial Operation</w:t>
      </w:r>
      <w:r w:rsidR="0083356A">
        <w:rPr>
          <w:bCs/>
        </w:rPr>
        <w:t xml:space="preserve">, the unit will be a fully </w:t>
      </w:r>
      <w:r w:rsidR="003F62CA">
        <w:rPr>
          <w:bCs/>
        </w:rPr>
        <w:t xml:space="preserve">dispatchable </w:t>
      </w:r>
      <w:r w:rsidR="0083356A">
        <w:rPr>
          <w:bCs/>
        </w:rPr>
        <w:t xml:space="preserve">baseload unit </w:t>
      </w:r>
      <w:r w:rsidR="003F62CA">
        <w:rPr>
          <w:bCs/>
        </w:rPr>
        <w:t xml:space="preserve">available </w:t>
      </w:r>
      <w:r w:rsidR="0083356A">
        <w:rPr>
          <w:bCs/>
        </w:rPr>
        <w:t>to serve customers. Therefore, once Unit 3 achieves Commercial Operation, customers</w:t>
      </w:r>
      <w:r w:rsidR="0083356A" w:rsidRPr="0083356A">
        <w:rPr>
          <w:bCs/>
        </w:rPr>
        <w:t xml:space="preserve"> will receive the benefits of 100% of the generation output </w:t>
      </w:r>
      <w:r w:rsidR="0083356A">
        <w:rPr>
          <w:bCs/>
        </w:rPr>
        <w:t>of</w:t>
      </w:r>
      <w:r w:rsidR="00675F2F">
        <w:rPr>
          <w:bCs/>
        </w:rPr>
        <w:t xml:space="preserve"> the Company’s ownership in</w:t>
      </w:r>
      <w:r w:rsidR="0083356A">
        <w:rPr>
          <w:bCs/>
        </w:rPr>
        <w:t xml:space="preserve"> Unit 3</w:t>
      </w:r>
      <w:r w:rsidR="0083356A" w:rsidRPr="0083356A">
        <w:rPr>
          <w:bCs/>
        </w:rPr>
        <w:t xml:space="preserve">. Under typical regulatory accounting treatment, </w:t>
      </w:r>
      <w:r w:rsidR="00CD1684">
        <w:rPr>
          <w:bCs/>
        </w:rPr>
        <w:t>Operating</w:t>
      </w:r>
      <w:r w:rsidR="00CD1684" w:rsidRPr="0083356A">
        <w:rPr>
          <w:bCs/>
        </w:rPr>
        <w:t xml:space="preserve"> </w:t>
      </w:r>
      <w:r w:rsidR="00CD1684">
        <w:rPr>
          <w:bCs/>
        </w:rPr>
        <w:t>C</w:t>
      </w:r>
      <w:r w:rsidR="0083356A" w:rsidRPr="0083356A">
        <w:rPr>
          <w:bCs/>
        </w:rPr>
        <w:t>osts are either included in rates once a unit is placed in service or deferred until the regulatory review process is completed</w:t>
      </w:r>
      <w:r w:rsidR="00CC7B0C">
        <w:rPr>
          <w:bCs/>
        </w:rPr>
        <w:t xml:space="preserve"> for the capital </w:t>
      </w:r>
      <w:r w:rsidR="00CC7B0C">
        <w:rPr>
          <w:bCs/>
        </w:rPr>
        <w:lastRenderedPageBreak/>
        <w:t>cost of the unit</w:t>
      </w:r>
      <w:r w:rsidR="00CE2DD9">
        <w:rPr>
          <w:bCs/>
        </w:rPr>
        <w:t>, to be</w:t>
      </w:r>
      <w:r w:rsidR="0083356A" w:rsidRPr="0083356A">
        <w:rPr>
          <w:bCs/>
        </w:rPr>
        <w:t xml:space="preserve"> recovered in the future.</w:t>
      </w:r>
      <w:r w:rsidR="00675F2F">
        <w:rPr>
          <w:bCs/>
        </w:rPr>
        <w:t xml:space="preserve"> </w:t>
      </w:r>
      <w:r w:rsidR="00CC7B0C" w:rsidRPr="00CC7B0C">
        <w:rPr>
          <w:bCs/>
        </w:rPr>
        <w:t xml:space="preserve">This regulatory proceeding completes the regulatory review process for a portion of the capital cost of the unit. </w:t>
      </w:r>
      <w:r w:rsidR="00675F2F" w:rsidRPr="00675F2F">
        <w:rPr>
          <w:bCs/>
        </w:rPr>
        <w:t xml:space="preserve">It would be inappropriate for the Commission to disallow recovery of </w:t>
      </w:r>
      <w:r w:rsidR="00F90871">
        <w:rPr>
          <w:bCs/>
        </w:rPr>
        <w:t>O</w:t>
      </w:r>
      <w:r w:rsidR="00675F2F" w:rsidRPr="00675F2F">
        <w:rPr>
          <w:bCs/>
        </w:rPr>
        <w:t xml:space="preserve">perating </w:t>
      </w:r>
      <w:r w:rsidR="00F90871">
        <w:rPr>
          <w:bCs/>
        </w:rPr>
        <w:t>Costs</w:t>
      </w:r>
      <w:r w:rsidR="00F90871" w:rsidRPr="00675F2F">
        <w:rPr>
          <w:bCs/>
        </w:rPr>
        <w:t xml:space="preserve"> </w:t>
      </w:r>
      <w:r w:rsidR="00675F2F" w:rsidRPr="00675F2F">
        <w:rPr>
          <w:bCs/>
        </w:rPr>
        <w:t xml:space="preserve">for a </w:t>
      </w:r>
      <w:r w:rsidR="00262D54">
        <w:rPr>
          <w:bCs/>
        </w:rPr>
        <w:t xml:space="preserve">certified </w:t>
      </w:r>
      <w:r w:rsidR="00675F2F" w:rsidRPr="00675F2F">
        <w:rPr>
          <w:bCs/>
        </w:rPr>
        <w:t>generation facility</w:t>
      </w:r>
      <w:r w:rsidR="00CC7B0C">
        <w:rPr>
          <w:bCs/>
        </w:rPr>
        <w:t xml:space="preserve"> that is in service</w:t>
      </w:r>
      <w:r w:rsidR="00675F2F" w:rsidRPr="00675F2F">
        <w:rPr>
          <w:bCs/>
        </w:rPr>
        <w:t>.</w:t>
      </w:r>
      <w:r w:rsidR="0083356A" w:rsidRPr="0083356A">
        <w:rPr>
          <w:bCs/>
        </w:rPr>
        <w:t xml:space="preserve"> </w:t>
      </w:r>
    </w:p>
    <w:p w14:paraId="5D44C5A6" w14:textId="7AD64A99" w:rsidR="008C7FFC" w:rsidRDefault="008C7FFC" w:rsidP="00F36CA0">
      <w:pPr>
        <w:pStyle w:val="BodyText"/>
        <w:spacing w:before="0" w:after="240" w:line="360" w:lineRule="auto"/>
        <w:ind w:left="720" w:hanging="720"/>
        <w:rPr>
          <w:b/>
        </w:rPr>
      </w:pPr>
      <w:r w:rsidRPr="00ED2B97">
        <w:rPr>
          <w:b/>
        </w:rPr>
        <w:t>Q.</w:t>
      </w:r>
      <w:r w:rsidRPr="00ED2B97">
        <w:rPr>
          <w:b/>
        </w:rPr>
        <w:tab/>
      </w:r>
      <w:r w:rsidR="00FF5CE1">
        <w:rPr>
          <w:b/>
        </w:rPr>
        <w:t xml:space="preserve">DOES THE VCM 17 ORDER ADDRESS THE RECOVERY OF OPERATING </w:t>
      </w:r>
      <w:r w:rsidR="00F90871">
        <w:rPr>
          <w:b/>
        </w:rPr>
        <w:t>COSTS</w:t>
      </w:r>
      <w:r w:rsidR="00FF5CE1">
        <w:rPr>
          <w:b/>
        </w:rPr>
        <w:t xml:space="preserve">? </w:t>
      </w:r>
    </w:p>
    <w:p w14:paraId="7E9CF854" w14:textId="151932D0" w:rsidR="00FF5CE1" w:rsidRDefault="008C7FFC" w:rsidP="00F36CA0">
      <w:pPr>
        <w:pStyle w:val="BodyText"/>
        <w:spacing w:before="0" w:after="240" w:line="360" w:lineRule="auto"/>
        <w:ind w:left="720" w:hanging="720"/>
        <w:rPr>
          <w:bCs/>
        </w:rPr>
      </w:pPr>
      <w:r w:rsidRPr="00031A62">
        <w:rPr>
          <w:bCs/>
        </w:rPr>
        <w:t>A.</w:t>
      </w:r>
      <w:r w:rsidRPr="00031A62">
        <w:rPr>
          <w:bCs/>
        </w:rPr>
        <w:tab/>
      </w:r>
      <w:r w:rsidR="00FF5CE1">
        <w:rPr>
          <w:bCs/>
        </w:rPr>
        <w:t xml:space="preserve">No, nor should it have addressed </w:t>
      </w:r>
      <w:r w:rsidR="00BC5F97">
        <w:rPr>
          <w:bCs/>
        </w:rPr>
        <w:t xml:space="preserve">the recovery of </w:t>
      </w:r>
      <w:r w:rsidR="00F90871">
        <w:rPr>
          <w:bCs/>
        </w:rPr>
        <w:t>O</w:t>
      </w:r>
      <w:r w:rsidR="00FF5CE1">
        <w:rPr>
          <w:bCs/>
        </w:rPr>
        <w:t xml:space="preserve">perating </w:t>
      </w:r>
      <w:r w:rsidR="00F90871">
        <w:rPr>
          <w:bCs/>
        </w:rPr>
        <w:t>Costs</w:t>
      </w:r>
      <w:r w:rsidR="00FF5CE1">
        <w:rPr>
          <w:bCs/>
        </w:rPr>
        <w:t xml:space="preserve">. The VCM proceeding is a construction monitoring proceeding, not a ratemaking proceeding. The Commission reviews, verifies, and approves the construction capital costs incurred in each reporting period during each VCM proceeding. While the Commission has periodically identified </w:t>
      </w:r>
      <w:r w:rsidR="00405877">
        <w:rPr>
          <w:bCs/>
        </w:rPr>
        <w:t xml:space="preserve">and </w:t>
      </w:r>
      <w:r w:rsidR="00FF5CE1">
        <w:rPr>
          <w:bCs/>
        </w:rPr>
        <w:t>resolved issues regarding the timing, process, and structure for future prudence and ratemaking proceedings, it has</w:t>
      </w:r>
      <w:r w:rsidR="009D606A">
        <w:rPr>
          <w:bCs/>
        </w:rPr>
        <w:t>, appropriately,</w:t>
      </w:r>
      <w:r w:rsidR="001013D1">
        <w:rPr>
          <w:bCs/>
        </w:rPr>
        <w:t xml:space="preserve"> not made a</w:t>
      </w:r>
      <w:r w:rsidR="00AF29BF">
        <w:rPr>
          <w:bCs/>
        </w:rPr>
        <w:t xml:space="preserve"> rate adjustment or</w:t>
      </w:r>
      <w:r w:rsidR="001013D1">
        <w:rPr>
          <w:bCs/>
        </w:rPr>
        <w:t xml:space="preserve"> </w:t>
      </w:r>
      <w:r w:rsidR="00DC47BA">
        <w:rPr>
          <w:bCs/>
        </w:rPr>
        <w:t xml:space="preserve">traditional </w:t>
      </w:r>
      <w:r w:rsidR="001013D1">
        <w:rPr>
          <w:bCs/>
        </w:rPr>
        <w:t>ratemaking decision during a VCM proceeding. T</w:t>
      </w:r>
      <w:r w:rsidR="00FF5CE1">
        <w:rPr>
          <w:bCs/>
        </w:rPr>
        <w:t>he VCM 17 Order was</w:t>
      </w:r>
      <w:r w:rsidR="001013D1">
        <w:rPr>
          <w:bCs/>
        </w:rPr>
        <w:t xml:space="preserve"> appropriately</w:t>
      </w:r>
      <w:r w:rsidR="00FF5CE1">
        <w:rPr>
          <w:bCs/>
        </w:rPr>
        <w:t xml:space="preserve"> silent on </w:t>
      </w:r>
      <w:r w:rsidR="00CD1684">
        <w:rPr>
          <w:bCs/>
        </w:rPr>
        <w:t>O</w:t>
      </w:r>
      <w:r w:rsidR="00FF5CE1">
        <w:rPr>
          <w:bCs/>
        </w:rPr>
        <w:t xml:space="preserve">perating </w:t>
      </w:r>
      <w:r w:rsidR="00CD1684">
        <w:rPr>
          <w:bCs/>
        </w:rPr>
        <w:t>C</w:t>
      </w:r>
      <w:r w:rsidR="00FF5CE1">
        <w:rPr>
          <w:bCs/>
        </w:rPr>
        <w:t>osts</w:t>
      </w:r>
      <w:r w:rsidR="001013D1">
        <w:rPr>
          <w:bCs/>
        </w:rPr>
        <w:t xml:space="preserve">, which is a ratemaking issue. </w:t>
      </w:r>
      <w:r w:rsidR="00AF29BF">
        <w:rPr>
          <w:bCs/>
        </w:rPr>
        <w:t>In contrast, the current Unit 3 Rate Adjustment proceeding is a proceeding</w:t>
      </w:r>
      <w:r w:rsidR="00685D02">
        <w:rPr>
          <w:bCs/>
        </w:rPr>
        <w:t xml:space="preserve"> to adjust rates</w:t>
      </w:r>
      <w:r w:rsidR="00AF29BF">
        <w:rPr>
          <w:bCs/>
        </w:rPr>
        <w:t xml:space="preserve"> where it is appropriate for the Commission to determine </w:t>
      </w:r>
      <w:r w:rsidR="00971344">
        <w:rPr>
          <w:bCs/>
        </w:rPr>
        <w:t xml:space="preserve">this issue. </w:t>
      </w:r>
      <w:r w:rsidR="001013D1">
        <w:rPr>
          <w:bCs/>
        </w:rPr>
        <w:t xml:space="preserve">As such, the Company has </w:t>
      </w:r>
      <w:r w:rsidR="00971344">
        <w:rPr>
          <w:bCs/>
        </w:rPr>
        <w:t>included in this proceeding a request to recover</w:t>
      </w:r>
      <w:r w:rsidR="001013D1">
        <w:rPr>
          <w:bCs/>
        </w:rPr>
        <w:t xml:space="preserve"> </w:t>
      </w:r>
      <w:r w:rsidR="00F90871">
        <w:rPr>
          <w:bCs/>
        </w:rPr>
        <w:t>Operating Costs</w:t>
      </w:r>
      <w:r w:rsidR="001013D1">
        <w:rPr>
          <w:bCs/>
        </w:rPr>
        <w:t xml:space="preserve"> as part of </w:t>
      </w:r>
      <w:r w:rsidR="0043015F">
        <w:rPr>
          <w:bCs/>
        </w:rPr>
        <w:t xml:space="preserve">the </w:t>
      </w:r>
      <w:r w:rsidR="001013D1">
        <w:rPr>
          <w:bCs/>
        </w:rPr>
        <w:t xml:space="preserve">decision in this case. </w:t>
      </w:r>
    </w:p>
    <w:p w14:paraId="7DC09BF2" w14:textId="5BD50395" w:rsidR="008C7FFC" w:rsidRDefault="008C7FFC" w:rsidP="00F36CA0">
      <w:pPr>
        <w:pStyle w:val="BodyText"/>
        <w:spacing w:before="0" w:after="240" w:line="360" w:lineRule="auto"/>
        <w:ind w:left="720" w:hanging="720"/>
        <w:rPr>
          <w:b/>
        </w:rPr>
      </w:pPr>
      <w:r w:rsidRPr="00ED2B97">
        <w:rPr>
          <w:b/>
        </w:rPr>
        <w:t>Q.</w:t>
      </w:r>
      <w:r w:rsidRPr="00ED2B97">
        <w:rPr>
          <w:b/>
        </w:rPr>
        <w:tab/>
      </w:r>
      <w:r w:rsidR="005C7AF4">
        <w:rPr>
          <w:b/>
        </w:rPr>
        <w:t xml:space="preserve">IF </w:t>
      </w:r>
      <w:r w:rsidR="0043015F">
        <w:rPr>
          <w:b/>
        </w:rPr>
        <w:t xml:space="preserve">PIA </w:t>
      </w:r>
      <w:r w:rsidR="005C7AF4">
        <w:rPr>
          <w:b/>
        </w:rPr>
        <w:t xml:space="preserve">STAFF’S ALTERNATIVE RECOMMENDATION PERMITS THE RECOVERY OF OPERATING COSTS WHEN UNIT 3 ACHIEVES COMMERCIAL OPERATION, WHY IS THE ALTERNATIVE RECOMMENDATION </w:t>
      </w:r>
      <w:r w:rsidR="00BF7399">
        <w:rPr>
          <w:b/>
        </w:rPr>
        <w:t xml:space="preserve">ALSO </w:t>
      </w:r>
      <w:r w:rsidR="005C7AF4">
        <w:rPr>
          <w:b/>
        </w:rPr>
        <w:t>UNREASONABLE?</w:t>
      </w:r>
      <w:r>
        <w:rPr>
          <w:b/>
        </w:rPr>
        <w:t xml:space="preserve"> </w:t>
      </w:r>
    </w:p>
    <w:p w14:paraId="612B9CEE" w14:textId="791EA91C" w:rsidR="008C7FFC" w:rsidRDefault="008C7FFC" w:rsidP="00F36CA0">
      <w:pPr>
        <w:pStyle w:val="BodyText"/>
        <w:spacing w:before="0" w:after="240" w:line="360" w:lineRule="auto"/>
        <w:ind w:left="720" w:hanging="720"/>
        <w:rPr>
          <w:bCs/>
        </w:rPr>
      </w:pPr>
      <w:r w:rsidRPr="00031A62">
        <w:rPr>
          <w:bCs/>
        </w:rPr>
        <w:t>A.</w:t>
      </w:r>
      <w:r w:rsidRPr="00031A62">
        <w:rPr>
          <w:bCs/>
        </w:rPr>
        <w:tab/>
      </w:r>
      <w:r w:rsidR="0043015F">
        <w:rPr>
          <w:bCs/>
        </w:rPr>
        <w:t xml:space="preserve">PIA </w:t>
      </w:r>
      <w:r w:rsidR="005C7AF4">
        <w:rPr>
          <w:bCs/>
        </w:rPr>
        <w:t>Staff’s alternative recommendatio</w:t>
      </w:r>
      <w:r w:rsidR="00DC47BA">
        <w:rPr>
          <w:bCs/>
        </w:rPr>
        <w:t>n—to increase base rates by $193 million</w:t>
      </w:r>
      <w:r w:rsidR="007804E3">
        <w:rPr>
          <w:bCs/>
        </w:rPr>
        <w:t xml:space="preserve"> including </w:t>
      </w:r>
      <w:r w:rsidR="00CD1684">
        <w:rPr>
          <w:bCs/>
        </w:rPr>
        <w:t>O</w:t>
      </w:r>
      <w:r w:rsidR="007804E3">
        <w:rPr>
          <w:bCs/>
        </w:rPr>
        <w:t xml:space="preserve">perating </w:t>
      </w:r>
      <w:r w:rsidR="00CD1684">
        <w:rPr>
          <w:bCs/>
        </w:rPr>
        <w:t>C</w:t>
      </w:r>
      <w:r w:rsidR="007804E3">
        <w:rPr>
          <w:bCs/>
        </w:rPr>
        <w:t>osts</w:t>
      </w:r>
      <w:r w:rsidR="00982A50">
        <w:rPr>
          <w:bCs/>
        </w:rPr>
        <w:t xml:space="preserve">—is </w:t>
      </w:r>
      <w:r w:rsidR="005C7AF4">
        <w:rPr>
          <w:bCs/>
        </w:rPr>
        <w:t>marred by the introduction of inappropriate and unacceptable performance guarantees and operating conditions</w:t>
      </w:r>
      <w:r w:rsidR="00971344">
        <w:rPr>
          <w:bCs/>
        </w:rPr>
        <w:t xml:space="preserve"> post-Commercial Operation</w:t>
      </w:r>
      <w:r w:rsidR="005C7AF4">
        <w:rPr>
          <w:bCs/>
        </w:rPr>
        <w:t xml:space="preserve">. There is no Commission precedent for imposing performance guarantees on the cost recovery of </w:t>
      </w:r>
      <w:r w:rsidR="00CD1684">
        <w:rPr>
          <w:bCs/>
        </w:rPr>
        <w:t>O</w:t>
      </w:r>
      <w:r w:rsidR="007A6F1C">
        <w:rPr>
          <w:bCs/>
        </w:rPr>
        <w:t xml:space="preserve">perating </w:t>
      </w:r>
      <w:r w:rsidR="00CD1684">
        <w:rPr>
          <w:bCs/>
        </w:rPr>
        <w:t>C</w:t>
      </w:r>
      <w:r w:rsidR="005C7AF4">
        <w:rPr>
          <w:bCs/>
        </w:rPr>
        <w:t>osts</w:t>
      </w:r>
      <w:r w:rsidR="00A61688">
        <w:rPr>
          <w:bCs/>
        </w:rPr>
        <w:t xml:space="preserve"> </w:t>
      </w:r>
      <w:r w:rsidR="00685D02">
        <w:rPr>
          <w:bCs/>
        </w:rPr>
        <w:t>for</w:t>
      </w:r>
      <w:r w:rsidR="00A61688">
        <w:rPr>
          <w:bCs/>
        </w:rPr>
        <w:t xml:space="preserve"> a </w:t>
      </w:r>
      <w:r w:rsidR="007804E3">
        <w:rPr>
          <w:bCs/>
        </w:rPr>
        <w:t xml:space="preserve">generating </w:t>
      </w:r>
      <w:r w:rsidR="00A61688">
        <w:rPr>
          <w:bCs/>
        </w:rPr>
        <w:t>unit</w:t>
      </w:r>
      <w:r w:rsidR="006E43E9">
        <w:rPr>
          <w:bCs/>
        </w:rPr>
        <w:t xml:space="preserve"> when setting rates</w:t>
      </w:r>
      <w:r w:rsidR="005C7AF4">
        <w:rPr>
          <w:bCs/>
        </w:rPr>
        <w:t xml:space="preserve">. </w:t>
      </w:r>
      <w:r w:rsidR="00C51F87">
        <w:rPr>
          <w:bCs/>
        </w:rPr>
        <w:t xml:space="preserve">The Commission regularly reviews the Company’s cost of generation, performance, unit output, maintenance </w:t>
      </w:r>
      <w:r w:rsidR="00C51F87">
        <w:rPr>
          <w:bCs/>
        </w:rPr>
        <w:lastRenderedPageBreak/>
        <w:t>expenses, outages, and related costs in fuel case</w:t>
      </w:r>
      <w:r w:rsidR="00A41063">
        <w:rPr>
          <w:bCs/>
        </w:rPr>
        <w:t>s</w:t>
      </w:r>
      <w:r w:rsidR="00C51F87">
        <w:rPr>
          <w:bCs/>
        </w:rPr>
        <w:t>, annual surveillance review</w:t>
      </w:r>
      <w:r w:rsidR="00A41063">
        <w:rPr>
          <w:bCs/>
        </w:rPr>
        <w:t>s</w:t>
      </w:r>
      <w:r w:rsidR="00C51F87">
        <w:rPr>
          <w:bCs/>
        </w:rPr>
        <w:t xml:space="preserve"> (</w:t>
      </w:r>
      <w:r w:rsidR="005E5537">
        <w:rPr>
          <w:bCs/>
        </w:rPr>
        <w:t>“</w:t>
      </w:r>
      <w:r w:rsidR="00C51F87">
        <w:rPr>
          <w:bCs/>
        </w:rPr>
        <w:t>ASR</w:t>
      </w:r>
      <w:r w:rsidR="005E5537">
        <w:rPr>
          <w:bCs/>
        </w:rPr>
        <w:t>”</w:t>
      </w:r>
      <w:r w:rsidR="00C51F87">
        <w:rPr>
          <w:bCs/>
        </w:rPr>
        <w:t xml:space="preserve">), </w:t>
      </w:r>
      <w:r w:rsidR="00A41063">
        <w:rPr>
          <w:bCs/>
        </w:rPr>
        <w:t>and/</w:t>
      </w:r>
      <w:r w:rsidR="00C51F87">
        <w:rPr>
          <w:bCs/>
        </w:rPr>
        <w:t xml:space="preserve">or </w:t>
      </w:r>
      <w:r w:rsidR="00A61688">
        <w:rPr>
          <w:bCs/>
        </w:rPr>
        <w:t xml:space="preserve">base </w:t>
      </w:r>
      <w:r w:rsidR="00C51F87">
        <w:rPr>
          <w:bCs/>
        </w:rPr>
        <w:t>rate case proceeding</w:t>
      </w:r>
      <w:r w:rsidR="00A41063">
        <w:rPr>
          <w:bCs/>
        </w:rPr>
        <w:t>s</w:t>
      </w:r>
      <w:r w:rsidR="00C51F87">
        <w:rPr>
          <w:bCs/>
        </w:rPr>
        <w:t>. If Unit 3 experiences operational issues that prevent the Unit from operating as intended and/or require</w:t>
      </w:r>
      <w:r w:rsidR="00A41063">
        <w:rPr>
          <w:bCs/>
        </w:rPr>
        <w:t>s</w:t>
      </w:r>
      <w:r w:rsidR="00C51F87">
        <w:rPr>
          <w:bCs/>
        </w:rPr>
        <w:t xml:space="preserve"> replacement energy, the appropriate Commission review of the unit’s operation and the cost impacts related to the same </w:t>
      </w:r>
      <w:r w:rsidR="00CE2DD9">
        <w:rPr>
          <w:bCs/>
        </w:rPr>
        <w:t>is</w:t>
      </w:r>
      <w:r w:rsidR="00A41063">
        <w:rPr>
          <w:bCs/>
        </w:rPr>
        <w:t xml:space="preserve"> </w:t>
      </w:r>
      <w:r w:rsidR="00C51F87">
        <w:rPr>
          <w:bCs/>
        </w:rPr>
        <w:t>through one of these forums</w:t>
      </w:r>
      <w:r w:rsidR="0043015F" w:rsidRPr="0043015F">
        <w:rPr>
          <w:bCs/>
        </w:rPr>
        <w:t>, not an automatic</w:t>
      </w:r>
      <w:r w:rsidR="006E43E9">
        <w:rPr>
          <w:bCs/>
        </w:rPr>
        <w:t>, predetermined</w:t>
      </w:r>
      <w:r w:rsidR="0043015F" w:rsidRPr="0043015F">
        <w:rPr>
          <w:bCs/>
        </w:rPr>
        <w:t xml:space="preserve"> disallowance for failure to meet performance criteria, as proposed by PIA Staff</w:t>
      </w:r>
      <w:r w:rsidR="00C51F87">
        <w:rPr>
          <w:bCs/>
        </w:rPr>
        <w:t>.</w:t>
      </w:r>
      <w:r w:rsidR="00982A50">
        <w:rPr>
          <w:bCs/>
        </w:rPr>
        <w:t xml:space="preserve"> The imposition of performance requirements is outside what was previously agreed to in the SIR Stipulation</w:t>
      </w:r>
      <w:r w:rsidR="00CE2DD9">
        <w:rPr>
          <w:bCs/>
        </w:rPr>
        <w:t xml:space="preserve"> to determine when the units reach Commercial Operation</w:t>
      </w:r>
      <w:r w:rsidR="00982A50">
        <w:rPr>
          <w:bCs/>
        </w:rPr>
        <w:t xml:space="preserve"> and, therefore, outside the VCM 17 Order.</w:t>
      </w:r>
    </w:p>
    <w:p w14:paraId="327EEEF9" w14:textId="5CAE2A1A" w:rsidR="00276373" w:rsidRDefault="00276373" w:rsidP="00276373">
      <w:pPr>
        <w:pStyle w:val="BodyText"/>
        <w:spacing w:line="360" w:lineRule="auto"/>
        <w:ind w:left="720" w:hanging="720"/>
        <w:rPr>
          <w:b/>
          <w:bCs/>
        </w:rPr>
      </w:pPr>
      <w:bookmarkStart w:id="7" w:name="_Hlk83897118"/>
      <w:r>
        <w:rPr>
          <w:b/>
          <w:bCs/>
        </w:rPr>
        <w:t>Q.</w:t>
      </w:r>
      <w:r>
        <w:rPr>
          <w:b/>
          <w:bCs/>
        </w:rPr>
        <w:tab/>
        <w:t xml:space="preserve">IS PIA STAFF CHALLENGING THE PROJECTED AMOUNT OF OPERATING </w:t>
      </w:r>
      <w:r w:rsidR="00381A6F">
        <w:rPr>
          <w:b/>
          <w:bCs/>
        </w:rPr>
        <w:t xml:space="preserve">COSTS </w:t>
      </w:r>
      <w:r>
        <w:rPr>
          <w:b/>
          <w:bCs/>
        </w:rPr>
        <w:t>THE COMPANY HAS REQUESTED TO BE RECOVERED IN BASE RATES ONCE VOGTLE UNIT 3 ACHIEVES COMMERCIAL OPERATION?</w:t>
      </w:r>
    </w:p>
    <w:p w14:paraId="284A9A86" w14:textId="00E71F25" w:rsidR="00276373" w:rsidRDefault="00276373" w:rsidP="00276373">
      <w:pPr>
        <w:pStyle w:val="BodyText"/>
        <w:spacing w:before="0" w:after="240" w:line="360" w:lineRule="auto"/>
        <w:ind w:left="720" w:hanging="720"/>
        <w:rPr>
          <w:bCs/>
        </w:rPr>
      </w:pPr>
      <w:r w:rsidRPr="004403E0">
        <w:t>A.</w:t>
      </w:r>
      <w:r w:rsidRPr="004403E0">
        <w:tab/>
      </w:r>
      <w:r>
        <w:t>No, PIA Staff’s position is centered more on whether it is appropriate for the Company to recover the Operating Costs necessary to operate Vogtle Unit 3 once it achieves Commercial Operation. Their primary position being disallowance of 100 percent of operating expenses and the depreciation expense related to the capital investment not reflected in base rates, while their alternative position would only allow recovery of operating expenses contingent upon a set of predefined unit performance criteria.</w:t>
      </w:r>
      <w:bookmarkEnd w:id="7"/>
    </w:p>
    <w:p w14:paraId="2A400FEA" w14:textId="502F5359" w:rsidR="00D45BCE" w:rsidRPr="00D45BCE" w:rsidRDefault="00D45BCE" w:rsidP="00D45BCE">
      <w:pPr>
        <w:pStyle w:val="BodyText"/>
        <w:spacing w:line="360" w:lineRule="auto"/>
        <w:ind w:left="720" w:hanging="720"/>
        <w:rPr>
          <w:b/>
          <w:bCs/>
        </w:rPr>
      </w:pPr>
      <w:bookmarkStart w:id="8" w:name="_Hlk83829628"/>
      <w:r w:rsidRPr="00D45BCE">
        <w:rPr>
          <w:b/>
          <w:bCs/>
        </w:rPr>
        <w:t>Q.</w:t>
      </w:r>
      <w:r w:rsidRPr="00D45BCE">
        <w:rPr>
          <w:b/>
          <w:bCs/>
        </w:rPr>
        <w:tab/>
        <w:t xml:space="preserve">IS DEFERRAL OF OPERATING COSTS </w:t>
      </w:r>
      <w:r w:rsidR="009564B1">
        <w:rPr>
          <w:b/>
          <w:bCs/>
        </w:rPr>
        <w:t>RELATED TO</w:t>
      </w:r>
      <w:r w:rsidRPr="00D45BCE">
        <w:rPr>
          <w:b/>
          <w:bCs/>
        </w:rPr>
        <w:t xml:space="preserve"> AN APPROVED AND</w:t>
      </w:r>
      <w:r w:rsidR="009564B1">
        <w:rPr>
          <w:b/>
          <w:bCs/>
        </w:rPr>
        <w:t xml:space="preserve"> NEWLY PLACED</w:t>
      </w:r>
      <w:r w:rsidRPr="00D45BCE">
        <w:rPr>
          <w:b/>
          <w:bCs/>
        </w:rPr>
        <w:t xml:space="preserve"> IN-SERVICE ASSET CONSISTENT WITH PAST COMMISSION PRACTICES?</w:t>
      </w:r>
    </w:p>
    <w:p w14:paraId="76AF46D7" w14:textId="6A23CB38" w:rsidR="00D45BCE" w:rsidRPr="00D45BCE" w:rsidRDefault="00D45BCE" w:rsidP="00D45BCE">
      <w:pPr>
        <w:pStyle w:val="BodyText"/>
        <w:spacing w:line="360" w:lineRule="auto"/>
        <w:ind w:left="720" w:hanging="720"/>
        <w:rPr>
          <w:b/>
          <w:bCs/>
        </w:rPr>
      </w:pPr>
      <w:r w:rsidRPr="00D45BCE">
        <w:rPr>
          <w:bCs/>
        </w:rPr>
        <w:t>A.</w:t>
      </w:r>
      <w:r w:rsidRPr="00D45BCE">
        <w:rPr>
          <w:bCs/>
        </w:rPr>
        <w:tab/>
        <w:t xml:space="preserve">No. </w:t>
      </w:r>
      <w:bookmarkStart w:id="9" w:name="_Hlk83896795"/>
      <w:r w:rsidRPr="00D45BCE">
        <w:rPr>
          <w:bCs/>
        </w:rPr>
        <w:t xml:space="preserve">The Commission has historically allowed for current recovery of all </w:t>
      </w:r>
      <w:r>
        <w:rPr>
          <w:bCs/>
        </w:rPr>
        <w:t>O</w:t>
      </w:r>
      <w:r w:rsidRPr="00D45BCE">
        <w:rPr>
          <w:bCs/>
        </w:rPr>
        <w:t xml:space="preserve">perating </w:t>
      </w:r>
      <w:r>
        <w:rPr>
          <w:bCs/>
        </w:rPr>
        <w:t>C</w:t>
      </w:r>
      <w:r w:rsidRPr="00D45BCE">
        <w:rPr>
          <w:bCs/>
        </w:rPr>
        <w:t xml:space="preserve">osts, including depreciation, </w:t>
      </w:r>
      <w:r w:rsidR="009564B1">
        <w:rPr>
          <w:bCs/>
        </w:rPr>
        <w:t>related to a new</w:t>
      </w:r>
      <w:r w:rsidRPr="00D45BCE">
        <w:rPr>
          <w:bCs/>
        </w:rPr>
        <w:t xml:space="preserve"> asset </w:t>
      </w:r>
      <w:r w:rsidR="00997803">
        <w:rPr>
          <w:bCs/>
        </w:rPr>
        <w:t xml:space="preserve">when it is placed </w:t>
      </w:r>
      <w:r w:rsidRPr="00D45BCE">
        <w:rPr>
          <w:bCs/>
        </w:rPr>
        <w:t>in</w:t>
      </w:r>
      <w:r w:rsidR="00997803">
        <w:rPr>
          <w:bCs/>
        </w:rPr>
        <w:t xml:space="preserve"> </w:t>
      </w:r>
      <w:r w:rsidRPr="00D45BCE">
        <w:rPr>
          <w:bCs/>
        </w:rPr>
        <w:t>service</w:t>
      </w:r>
      <w:r w:rsidR="00997803">
        <w:rPr>
          <w:bCs/>
        </w:rPr>
        <w:t>, included in rate base,</w:t>
      </w:r>
      <w:r w:rsidRPr="00D45BCE">
        <w:rPr>
          <w:bCs/>
        </w:rPr>
        <w:t xml:space="preserve"> and operating for the benefit of customers</w:t>
      </w:r>
      <w:bookmarkEnd w:id="9"/>
      <w:r w:rsidRPr="00D45BCE">
        <w:rPr>
          <w:bCs/>
        </w:rPr>
        <w:t>.</w:t>
      </w:r>
    </w:p>
    <w:bookmarkEnd w:id="8"/>
    <w:p w14:paraId="531926A9" w14:textId="77777777" w:rsidR="008033C2" w:rsidRDefault="008033C2">
      <w:pPr>
        <w:rPr>
          <w:b/>
        </w:rPr>
      </w:pPr>
      <w:r>
        <w:rPr>
          <w:b/>
        </w:rPr>
        <w:br w:type="page"/>
      </w:r>
    </w:p>
    <w:p w14:paraId="042F4E9C" w14:textId="06B11902" w:rsidR="004C584B" w:rsidRPr="002A22E7" w:rsidRDefault="004C584B" w:rsidP="004C584B">
      <w:pPr>
        <w:pStyle w:val="BodyText"/>
        <w:spacing w:before="0" w:after="240" w:line="360" w:lineRule="auto"/>
        <w:ind w:left="720" w:hanging="720"/>
        <w:rPr>
          <w:b/>
          <w:u w:val="single"/>
        </w:rPr>
      </w:pPr>
      <w:r>
        <w:rPr>
          <w:b/>
        </w:rPr>
        <w:lastRenderedPageBreak/>
        <w:t>III</w:t>
      </w:r>
      <w:r w:rsidRPr="002A22E7">
        <w:rPr>
          <w:b/>
        </w:rPr>
        <w:t>.</w:t>
      </w:r>
      <w:r w:rsidRPr="002A22E7">
        <w:rPr>
          <w:b/>
        </w:rPr>
        <w:tab/>
      </w:r>
      <w:r w:rsidRPr="002A22E7">
        <w:rPr>
          <w:b/>
          <w:u w:val="single"/>
        </w:rPr>
        <w:t>Depreciation</w:t>
      </w:r>
    </w:p>
    <w:p w14:paraId="25E77876" w14:textId="77777777" w:rsidR="004C584B" w:rsidRDefault="004C584B" w:rsidP="004C584B">
      <w:pPr>
        <w:pStyle w:val="BodyText"/>
        <w:spacing w:after="240" w:line="360" w:lineRule="auto"/>
        <w:ind w:left="720" w:hanging="720"/>
        <w:rPr>
          <w:b/>
        </w:rPr>
      </w:pPr>
      <w:r>
        <w:rPr>
          <w:b/>
        </w:rPr>
        <w:t>Q.</w:t>
      </w:r>
      <w:r>
        <w:rPr>
          <w:b/>
        </w:rPr>
        <w:tab/>
        <w:t>WHY IS THE AMOUNT OF DEPRECIATION AND THE TIMING FOR RECOVERY AS PROPOSED BY PIA STAFF INAPPROPRIATE?</w:t>
      </w:r>
    </w:p>
    <w:p w14:paraId="3C050CC7" w14:textId="3663F386" w:rsidR="004C584B" w:rsidRPr="00AF2F2D" w:rsidRDefault="004C584B" w:rsidP="004C584B">
      <w:pPr>
        <w:pStyle w:val="BodyText"/>
        <w:spacing w:after="240" w:line="360" w:lineRule="auto"/>
        <w:ind w:left="720" w:hanging="720"/>
        <w:rPr>
          <w:bCs/>
        </w:rPr>
      </w:pPr>
      <w:r w:rsidRPr="000D6F55">
        <w:rPr>
          <w:bCs/>
        </w:rPr>
        <w:t>A.</w:t>
      </w:r>
      <w:r w:rsidRPr="000D6F55">
        <w:rPr>
          <w:bCs/>
        </w:rPr>
        <w:tab/>
      </w:r>
      <w:r>
        <w:rPr>
          <w:bCs/>
        </w:rPr>
        <w:t xml:space="preserve">Similar to the Company’s proposed </w:t>
      </w:r>
      <w:r w:rsidRPr="00AF2F2D">
        <w:rPr>
          <w:bCs/>
        </w:rPr>
        <w:t xml:space="preserve">current recovery of its </w:t>
      </w:r>
      <w:r w:rsidR="00A25820">
        <w:rPr>
          <w:bCs/>
        </w:rPr>
        <w:t>operating expenses</w:t>
      </w:r>
      <w:r w:rsidRPr="00AF2F2D">
        <w:rPr>
          <w:bCs/>
        </w:rPr>
        <w:t xml:space="preserve">, current recovery should </w:t>
      </w:r>
      <w:r>
        <w:rPr>
          <w:bCs/>
        </w:rPr>
        <w:t xml:space="preserve">also </w:t>
      </w:r>
      <w:r w:rsidRPr="00AF2F2D">
        <w:rPr>
          <w:bCs/>
        </w:rPr>
        <w:t xml:space="preserve">be provided for 100% of the depreciation expense for all of the Unit 3 and Common placed into service. Again, when Unit 3 achieves Commercial Operation, the unit will be a fully dispatchable baseload unit available to serve customers. Therefore, customers will receive the benefits of 100% of the generation output of the Company’s ownership in Unit 3. Once these facilities </w:t>
      </w:r>
      <w:r>
        <w:rPr>
          <w:bCs/>
        </w:rPr>
        <w:t>are placed in service</w:t>
      </w:r>
      <w:r w:rsidRPr="00AF2F2D">
        <w:rPr>
          <w:bCs/>
        </w:rPr>
        <w:t xml:space="preserve">, a portion of their total utility for their useful lives is being consumed or “used up” to provide generation output for the benefit of customers. </w:t>
      </w:r>
      <w:r>
        <w:rPr>
          <w:bCs/>
        </w:rPr>
        <w:t>The</w:t>
      </w:r>
      <w:r w:rsidRPr="00AF2F2D">
        <w:rPr>
          <w:bCs/>
        </w:rPr>
        <w:t xml:space="preserve"> consumed utility of these capital assets is recognized over their assumed remaining useful lives and </w:t>
      </w:r>
      <w:r>
        <w:rPr>
          <w:bCs/>
        </w:rPr>
        <w:t>the associated</w:t>
      </w:r>
      <w:r w:rsidRPr="00AF2F2D">
        <w:rPr>
          <w:bCs/>
        </w:rPr>
        <w:t xml:space="preserve"> costs are recovered through depreciation expense. Likewise, it would be inappropriate for the Commission to disallow recovery of the depreciation expense attributed to electric utility plant</w:t>
      </w:r>
      <w:r>
        <w:rPr>
          <w:bCs/>
        </w:rPr>
        <w:t>-</w:t>
      </w:r>
      <w:r w:rsidRPr="00AF2F2D">
        <w:rPr>
          <w:bCs/>
        </w:rPr>
        <w:t>in</w:t>
      </w:r>
      <w:r>
        <w:rPr>
          <w:bCs/>
        </w:rPr>
        <w:t>-</w:t>
      </w:r>
      <w:r w:rsidRPr="00AF2F2D">
        <w:rPr>
          <w:bCs/>
        </w:rPr>
        <w:t>service operating for the benefit of customers.</w:t>
      </w:r>
    </w:p>
    <w:p w14:paraId="28C7F3D4" w14:textId="77777777" w:rsidR="004C584B" w:rsidRPr="00A61688" w:rsidRDefault="004C584B" w:rsidP="004C584B">
      <w:pPr>
        <w:pStyle w:val="BodyText"/>
        <w:spacing w:after="240" w:line="360" w:lineRule="auto"/>
        <w:ind w:left="720" w:hanging="720"/>
        <w:rPr>
          <w:b/>
        </w:rPr>
      </w:pPr>
      <w:r w:rsidRPr="00A61688">
        <w:rPr>
          <w:b/>
        </w:rPr>
        <w:t>Q.</w:t>
      </w:r>
      <w:r w:rsidRPr="00A61688">
        <w:rPr>
          <w:b/>
        </w:rPr>
        <w:tab/>
        <w:t xml:space="preserve">DOES THE COMPANY’S REQUEST INCLUDE LAND IN ITS DEPRECIATION EXPENSE CALCULATION? </w:t>
      </w:r>
    </w:p>
    <w:p w14:paraId="19E1D513" w14:textId="3808FE2E" w:rsidR="004C584B" w:rsidRPr="000438BC" w:rsidRDefault="004C584B" w:rsidP="004C584B">
      <w:pPr>
        <w:pStyle w:val="BodyText"/>
        <w:spacing w:after="240" w:line="360" w:lineRule="auto"/>
        <w:ind w:left="720" w:hanging="720"/>
      </w:pPr>
      <w:r w:rsidRPr="000438BC">
        <w:t>A.</w:t>
      </w:r>
      <w:r w:rsidRPr="000438BC">
        <w:tab/>
        <w:t xml:space="preserve">No. </w:t>
      </w:r>
      <w:r>
        <w:t>T</w:t>
      </w:r>
      <w:r w:rsidRPr="000438BC">
        <w:t>he capital cost for Vogtle Units 3 and 4 does not include any land</w:t>
      </w:r>
      <w:r w:rsidR="00D45BCE" w:rsidRPr="00D45BCE">
        <w:t>. Furthermore, land is not subject to depreciation. T</w:t>
      </w:r>
      <w:r w:rsidRPr="000438BC">
        <w:t xml:space="preserve">herefore, </w:t>
      </w:r>
      <w:r w:rsidR="00D45BCE">
        <w:t xml:space="preserve">no </w:t>
      </w:r>
      <w:r w:rsidRPr="000438BC">
        <w:t>land is included in</w:t>
      </w:r>
      <w:r w:rsidR="00D45BCE">
        <w:t xml:space="preserve"> the Company’s</w:t>
      </w:r>
      <w:r w:rsidRPr="000438BC">
        <w:t xml:space="preserve"> depreciation expense calculation</w:t>
      </w:r>
      <w:r w:rsidR="00D45BCE">
        <w:t xml:space="preserve"> associated with Unit 3 and Common facilities</w:t>
      </w:r>
      <w:r w:rsidRPr="000438BC">
        <w:t xml:space="preserve">. </w:t>
      </w:r>
    </w:p>
    <w:p w14:paraId="07B7F134" w14:textId="77777777" w:rsidR="004C584B" w:rsidRPr="00A61688" w:rsidRDefault="004C584B" w:rsidP="004C584B">
      <w:pPr>
        <w:pStyle w:val="BodyText"/>
        <w:spacing w:after="240" w:line="360" w:lineRule="auto"/>
        <w:ind w:left="720" w:hanging="720"/>
        <w:rPr>
          <w:b/>
        </w:rPr>
      </w:pPr>
      <w:r w:rsidRPr="00A61688">
        <w:rPr>
          <w:b/>
        </w:rPr>
        <w:t>Q.</w:t>
      </w:r>
      <w:r w:rsidRPr="00A61688">
        <w:rPr>
          <w:b/>
        </w:rPr>
        <w:tab/>
        <w:t xml:space="preserve">DOES THE COMPANY AGREE WITH PIA STAFF’S RECOMMENDATION TO APPLY A 1.677% DEPRECIATION RATE FOR VOGTLE 3 AND COMMON? </w:t>
      </w:r>
    </w:p>
    <w:p w14:paraId="36AD0D51" w14:textId="764BF2D6" w:rsidR="004C584B" w:rsidRDefault="004C584B" w:rsidP="004C584B">
      <w:pPr>
        <w:pStyle w:val="BodyText"/>
        <w:spacing w:after="240" w:line="360" w:lineRule="auto"/>
        <w:ind w:left="720" w:hanging="720"/>
      </w:pPr>
      <w:r w:rsidRPr="000438BC">
        <w:t>A.</w:t>
      </w:r>
      <w:r w:rsidRPr="000438BC">
        <w:tab/>
        <w:t xml:space="preserve">No. Simply calculating a depreciation rate based only on service life ignores the cost of removal component of the depreciation rate. Current depreciation rates approved by the </w:t>
      </w:r>
      <w:r w:rsidR="007A4BEB">
        <w:t>Commission</w:t>
      </w:r>
      <w:r w:rsidR="007A4BEB" w:rsidRPr="000438BC">
        <w:t xml:space="preserve"> </w:t>
      </w:r>
      <w:r w:rsidRPr="000438BC">
        <w:t>in the 2019 base rate case, including the</w:t>
      </w:r>
      <w:r w:rsidR="006A68F7">
        <w:t xml:space="preserve"> 1.768% depreciation</w:t>
      </w:r>
      <w:r w:rsidRPr="000438BC">
        <w:t xml:space="preserve"> rate approved for </w:t>
      </w:r>
      <w:r>
        <w:t>the Project</w:t>
      </w:r>
      <w:r w:rsidRPr="000438BC">
        <w:t>, appropriately include this component.</w:t>
      </w:r>
    </w:p>
    <w:p w14:paraId="568FAF2F" w14:textId="72855028" w:rsidR="00E20BBE" w:rsidRPr="002A22E7" w:rsidRDefault="00E20BBE" w:rsidP="00F61B25">
      <w:pPr>
        <w:pStyle w:val="BodyText"/>
        <w:keepNext/>
        <w:spacing w:before="0" w:after="240" w:line="360" w:lineRule="auto"/>
        <w:ind w:left="720" w:hanging="720"/>
        <w:rPr>
          <w:b/>
          <w:u w:val="single"/>
        </w:rPr>
      </w:pPr>
      <w:r w:rsidRPr="002A22E7">
        <w:rPr>
          <w:b/>
        </w:rPr>
        <w:lastRenderedPageBreak/>
        <w:t>IV.</w:t>
      </w:r>
      <w:r w:rsidRPr="002A22E7">
        <w:rPr>
          <w:b/>
        </w:rPr>
        <w:tab/>
      </w:r>
      <w:r w:rsidR="002A22E7" w:rsidRPr="002A22E7">
        <w:rPr>
          <w:b/>
          <w:u w:val="single"/>
        </w:rPr>
        <w:t>Accumulated Deferred Income Taxes (</w:t>
      </w:r>
      <w:proofErr w:type="spellStart"/>
      <w:r w:rsidR="002A22E7" w:rsidRPr="002A22E7">
        <w:rPr>
          <w:b/>
          <w:u w:val="single"/>
        </w:rPr>
        <w:t>ADITs</w:t>
      </w:r>
      <w:proofErr w:type="spellEnd"/>
      <w:r w:rsidR="002A22E7" w:rsidRPr="002A22E7">
        <w:rPr>
          <w:b/>
          <w:u w:val="single"/>
        </w:rPr>
        <w:t>)</w:t>
      </w:r>
    </w:p>
    <w:p w14:paraId="2EE48698" w14:textId="3D6D8178" w:rsidR="00AF29BF" w:rsidRDefault="00AF29BF" w:rsidP="00F61B25">
      <w:pPr>
        <w:pStyle w:val="BodyText"/>
        <w:keepNext/>
        <w:spacing w:before="0" w:after="240" w:line="360" w:lineRule="auto"/>
        <w:ind w:left="720" w:hanging="720"/>
        <w:rPr>
          <w:b/>
        </w:rPr>
      </w:pPr>
      <w:r>
        <w:rPr>
          <w:b/>
        </w:rPr>
        <w:t>Q.</w:t>
      </w:r>
      <w:r>
        <w:rPr>
          <w:b/>
        </w:rPr>
        <w:tab/>
      </w:r>
      <w:r w:rsidR="000438BC">
        <w:rPr>
          <w:b/>
        </w:rPr>
        <w:t xml:space="preserve">DOES THE COMPANY AGREE WITH PIA STAFF’S RECOMMENDATION TO LEAVE THE </w:t>
      </w:r>
      <w:proofErr w:type="spellStart"/>
      <w:r w:rsidR="000438BC">
        <w:rPr>
          <w:b/>
        </w:rPr>
        <w:t>ADITS</w:t>
      </w:r>
      <w:proofErr w:type="spellEnd"/>
      <w:r w:rsidR="000438BC">
        <w:rPr>
          <w:b/>
        </w:rPr>
        <w:t xml:space="preserve"> AND </w:t>
      </w:r>
      <w:r w:rsidR="00BE0CEF">
        <w:rPr>
          <w:b/>
        </w:rPr>
        <w:t xml:space="preserve">DEFICIENT </w:t>
      </w:r>
      <w:proofErr w:type="spellStart"/>
      <w:r w:rsidR="000438BC">
        <w:rPr>
          <w:b/>
        </w:rPr>
        <w:t>ADIT</w:t>
      </w:r>
      <w:proofErr w:type="spellEnd"/>
      <w:r w:rsidR="000438BC">
        <w:rPr>
          <w:b/>
        </w:rPr>
        <w:t xml:space="preserve"> REGULATORY ASSET IN NCCR? </w:t>
      </w:r>
    </w:p>
    <w:p w14:paraId="70D2B676" w14:textId="1BF1372B" w:rsidR="002D276B" w:rsidRPr="001071E7" w:rsidRDefault="00AF29BF" w:rsidP="002D276B">
      <w:pPr>
        <w:pStyle w:val="BodyText"/>
        <w:spacing w:before="0" w:after="240" w:line="360" w:lineRule="auto"/>
        <w:ind w:left="720" w:hanging="720"/>
        <w:rPr>
          <w:bCs/>
        </w:rPr>
      </w:pPr>
      <w:r w:rsidRPr="00031A62">
        <w:rPr>
          <w:bCs/>
        </w:rPr>
        <w:t>A.</w:t>
      </w:r>
      <w:r w:rsidRPr="00031A62">
        <w:rPr>
          <w:bCs/>
        </w:rPr>
        <w:tab/>
      </w:r>
      <w:r w:rsidR="000438BC">
        <w:rPr>
          <w:bCs/>
        </w:rPr>
        <w:t>No</w:t>
      </w:r>
      <w:r>
        <w:rPr>
          <w:bCs/>
        </w:rPr>
        <w:t xml:space="preserve">. The Company disagrees with PIA Staff’s recommendation to retain </w:t>
      </w:r>
      <w:r w:rsidR="00A61688" w:rsidRPr="00A61688">
        <w:rPr>
          <w:bCs/>
        </w:rPr>
        <w:t xml:space="preserve">in the NCCR tariff the </w:t>
      </w:r>
      <w:proofErr w:type="spellStart"/>
      <w:r w:rsidR="00A61688" w:rsidRPr="00A61688">
        <w:rPr>
          <w:bCs/>
        </w:rPr>
        <w:t>ADIT</w:t>
      </w:r>
      <w:proofErr w:type="spellEnd"/>
      <w:r w:rsidR="00A61688" w:rsidRPr="00A61688">
        <w:rPr>
          <w:bCs/>
        </w:rPr>
        <w:t xml:space="preserve"> and the deficient non-protected </w:t>
      </w:r>
      <w:proofErr w:type="spellStart"/>
      <w:r w:rsidR="00A61688" w:rsidRPr="00A61688">
        <w:rPr>
          <w:bCs/>
        </w:rPr>
        <w:t>ADIT</w:t>
      </w:r>
      <w:proofErr w:type="spellEnd"/>
      <w:r w:rsidR="00A61688" w:rsidRPr="00A61688">
        <w:rPr>
          <w:bCs/>
        </w:rPr>
        <w:t xml:space="preserve"> regulatory asset attributed to the amount of the capital costs that are transferred from NCCR into base rates. </w:t>
      </w:r>
      <w:r w:rsidR="00050B56" w:rsidRPr="002A78B5">
        <w:t xml:space="preserve">The </w:t>
      </w:r>
      <w:proofErr w:type="spellStart"/>
      <w:r w:rsidR="00050B56" w:rsidRPr="002A78B5">
        <w:t>ADIT</w:t>
      </w:r>
      <w:proofErr w:type="spellEnd"/>
      <w:r w:rsidR="00050B56" w:rsidRPr="002A78B5">
        <w:t xml:space="preserve"> assets in the NCCR tariff are the direct result of the capital cost that is being recovered through the NCCR tariff. Without those capital cost</w:t>
      </w:r>
      <w:r w:rsidR="003D4169">
        <w:t>s</w:t>
      </w:r>
      <w:r w:rsidR="00050B56" w:rsidRPr="002A78B5">
        <w:t xml:space="preserve"> incurred during construction, there would be no associated </w:t>
      </w:r>
      <w:proofErr w:type="spellStart"/>
      <w:r w:rsidR="00050B56" w:rsidRPr="002A78B5">
        <w:t>ADITs</w:t>
      </w:r>
      <w:proofErr w:type="spellEnd"/>
      <w:r w:rsidR="00050B56" w:rsidRPr="002A78B5">
        <w:t xml:space="preserve">. </w:t>
      </w:r>
      <w:r w:rsidR="002D276B">
        <w:t xml:space="preserve">It is </w:t>
      </w:r>
      <w:r w:rsidR="002D276B" w:rsidRPr="002A78B5">
        <w:t xml:space="preserve">appropriate </w:t>
      </w:r>
      <w:r w:rsidR="002D276B">
        <w:t>and consistent with the Commission’s traditional regulatory precedent for the Commission to approve</w:t>
      </w:r>
      <w:r w:rsidR="00050B56" w:rsidRPr="002A78B5">
        <w:t xml:space="preserve"> </w:t>
      </w:r>
      <w:r w:rsidR="002D276B">
        <w:t>the transfer of</w:t>
      </w:r>
      <w:r w:rsidR="00050B56" w:rsidRPr="002A78B5">
        <w:t xml:space="preserve"> </w:t>
      </w:r>
      <w:proofErr w:type="spellStart"/>
      <w:r w:rsidR="00050B56" w:rsidRPr="002A78B5">
        <w:t>ADITs</w:t>
      </w:r>
      <w:proofErr w:type="spellEnd"/>
      <w:r w:rsidR="00050B56" w:rsidRPr="002A78B5">
        <w:t xml:space="preserve"> from NCCR to base rates along with the capital cost from which those </w:t>
      </w:r>
      <w:proofErr w:type="spellStart"/>
      <w:r w:rsidR="00050B56" w:rsidRPr="002A78B5">
        <w:t>ADITs</w:t>
      </w:r>
      <w:proofErr w:type="spellEnd"/>
      <w:r w:rsidR="00050B56" w:rsidRPr="002A78B5">
        <w:t xml:space="preserve"> were derived. </w:t>
      </w:r>
    </w:p>
    <w:p w14:paraId="013F9B40" w14:textId="037A20C8" w:rsidR="001071E7" w:rsidRPr="001071E7" w:rsidRDefault="001071E7" w:rsidP="00F36CA0">
      <w:pPr>
        <w:pStyle w:val="BodyText"/>
        <w:spacing w:before="0" w:after="240" w:line="360" w:lineRule="auto"/>
        <w:ind w:left="720" w:hanging="720"/>
        <w:rPr>
          <w:b/>
        </w:rPr>
      </w:pPr>
      <w:r w:rsidRPr="001071E7">
        <w:rPr>
          <w:b/>
        </w:rPr>
        <w:t>Q.</w:t>
      </w:r>
      <w:r w:rsidRPr="001071E7">
        <w:rPr>
          <w:b/>
        </w:rPr>
        <w:tab/>
        <w:t xml:space="preserve">HAS THE COMPANY PAID FEDERAL INCOME TAXES RELATED TO </w:t>
      </w:r>
      <w:r w:rsidR="00F2101D">
        <w:rPr>
          <w:b/>
        </w:rPr>
        <w:t>INTERNAL REVENUE CODE</w:t>
      </w:r>
      <w:r w:rsidR="00CB3430">
        <w:rPr>
          <w:b/>
        </w:rPr>
        <w:t xml:space="preserve"> (“IRC”)</w:t>
      </w:r>
      <w:r w:rsidR="00F2101D">
        <w:rPr>
          <w:b/>
        </w:rPr>
        <w:t xml:space="preserve"> </w:t>
      </w:r>
      <w:r w:rsidRPr="001071E7">
        <w:rPr>
          <w:b/>
        </w:rPr>
        <w:t>SECTION 263A INTEREST DURING THE CONSTRUCTION PERIOD OF THE VOGTLE 3 AND COMMON PLANT COSTS BEING PLACED INTO SERVICE?</w:t>
      </w:r>
    </w:p>
    <w:p w14:paraId="00338619" w14:textId="40BD7DC9" w:rsidR="001071E7" w:rsidRPr="001071E7" w:rsidRDefault="001071E7" w:rsidP="00F36CA0">
      <w:pPr>
        <w:pStyle w:val="BodyText"/>
        <w:spacing w:before="0" w:after="240" w:line="360" w:lineRule="auto"/>
        <w:ind w:left="720" w:hanging="720"/>
        <w:rPr>
          <w:bCs/>
        </w:rPr>
      </w:pPr>
      <w:r w:rsidRPr="001071E7">
        <w:rPr>
          <w:bCs/>
        </w:rPr>
        <w:t>A.</w:t>
      </w:r>
      <w:r>
        <w:rPr>
          <w:bCs/>
        </w:rPr>
        <w:tab/>
      </w:r>
      <w:r w:rsidRPr="001071E7">
        <w:rPr>
          <w:bCs/>
        </w:rPr>
        <w:t xml:space="preserve">Yes. The Company paid federal income taxes related to </w:t>
      </w:r>
      <w:r w:rsidR="00CB3430">
        <w:rPr>
          <w:bCs/>
        </w:rPr>
        <w:t xml:space="preserve">IRC </w:t>
      </w:r>
      <w:r w:rsidRPr="001071E7">
        <w:rPr>
          <w:bCs/>
        </w:rPr>
        <w:t xml:space="preserve">Section 263A interest </w:t>
      </w:r>
      <w:r w:rsidR="000B0709" w:rsidRPr="001071E7">
        <w:rPr>
          <w:bCs/>
        </w:rPr>
        <w:t xml:space="preserve">at a rate of 35% </w:t>
      </w:r>
      <w:r w:rsidR="00675F2F">
        <w:rPr>
          <w:bCs/>
        </w:rPr>
        <w:t>from</w:t>
      </w:r>
      <w:r w:rsidR="00675F2F" w:rsidRPr="001071E7">
        <w:rPr>
          <w:bCs/>
        </w:rPr>
        <w:t xml:space="preserve"> </w:t>
      </w:r>
      <w:r w:rsidRPr="001071E7">
        <w:rPr>
          <w:bCs/>
        </w:rPr>
        <w:t xml:space="preserve">the inception of the construction of </w:t>
      </w:r>
      <w:r w:rsidR="00C24E2B">
        <w:rPr>
          <w:bCs/>
        </w:rPr>
        <w:t>Unit</w:t>
      </w:r>
      <w:r w:rsidRPr="001071E7">
        <w:rPr>
          <w:bCs/>
        </w:rPr>
        <w:t xml:space="preserve"> 3 and Common through 2017 and at </w:t>
      </w:r>
      <w:r w:rsidR="000B0709">
        <w:rPr>
          <w:bCs/>
        </w:rPr>
        <w:t xml:space="preserve">a rate of </w:t>
      </w:r>
      <w:r w:rsidRPr="001071E7">
        <w:rPr>
          <w:bCs/>
        </w:rPr>
        <w:t>21% since 2018.</w:t>
      </w:r>
      <w:r w:rsidR="00C8710C">
        <w:rPr>
          <w:bCs/>
        </w:rPr>
        <w:t xml:space="preserve"> When the Tax Cuts and Jobs Act of 2017 reduced the federal tax rate from </w:t>
      </w:r>
      <w:r w:rsidR="00A101AA">
        <w:rPr>
          <w:bCs/>
        </w:rPr>
        <w:t xml:space="preserve">35% to 21%, the federal portion of the </w:t>
      </w:r>
      <w:proofErr w:type="spellStart"/>
      <w:r w:rsidR="00A101AA">
        <w:rPr>
          <w:bCs/>
        </w:rPr>
        <w:t>ADIT</w:t>
      </w:r>
      <w:proofErr w:type="spellEnd"/>
      <w:r w:rsidR="00A101AA">
        <w:rPr>
          <w:bCs/>
        </w:rPr>
        <w:t xml:space="preserve"> decreased with a corresponding increase to a </w:t>
      </w:r>
      <w:r w:rsidR="00A61688">
        <w:rPr>
          <w:bCs/>
        </w:rPr>
        <w:t xml:space="preserve">regulatory asset </w:t>
      </w:r>
      <w:r w:rsidR="00A101AA">
        <w:rPr>
          <w:bCs/>
        </w:rPr>
        <w:t>along with the related gross-up for income taxes.</w:t>
      </w:r>
    </w:p>
    <w:p w14:paraId="4AD080B7" w14:textId="4772FC49" w:rsidR="001071E7" w:rsidRPr="001071E7" w:rsidRDefault="001071E7" w:rsidP="008453E2">
      <w:pPr>
        <w:pStyle w:val="BodyText"/>
        <w:spacing w:before="0" w:after="240" w:line="360" w:lineRule="auto"/>
        <w:ind w:left="720" w:hanging="720"/>
        <w:rPr>
          <w:b/>
        </w:rPr>
      </w:pPr>
      <w:r w:rsidRPr="001071E7">
        <w:rPr>
          <w:b/>
        </w:rPr>
        <w:t>Q.</w:t>
      </w:r>
      <w:r w:rsidRPr="001071E7">
        <w:rPr>
          <w:b/>
        </w:rPr>
        <w:tab/>
        <w:t xml:space="preserve">IS IT APPROPRIATE FOR THE COMPANY TO SEEK APPROVAL FOR ALL INCOME TAX COSTS RELATED TO </w:t>
      </w:r>
      <w:r w:rsidR="000B0709">
        <w:rPr>
          <w:b/>
        </w:rPr>
        <w:t>UNIT</w:t>
      </w:r>
      <w:r w:rsidRPr="001071E7">
        <w:rPr>
          <w:b/>
        </w:rPr>
        <w:t xml:space="preserve"> 3 AND COMMON COSTS BEING PLACED INTO RATES, INCLUDING FEDERAL TAXES PAID AT 35% AND 21%?</w:t>
      </w:r>
    </w:p>
    <w:p w14:paraId="46DB8A32" w14:textId="5124F858" w:rsidR="001071E7" w:rsidRDefault="001071E7" w:rsidP="00F2650C">
      <w:pPr>
        <w:pStyle w:val="BodyText"/>
        <w:spacing w:before="0" w:after="240" w:line="360" w:lineRule="auto"/>
        <w:ind w:left="720" w:hanging="720"/>
        <w:rPr>
          <w:bCs/>
        </w:rPr>
      </w:pPr>
      <w:r w:rsidRPr="001071E7">
        <w:rPr>
          <w:bCs/>
        </w:rPr>
        <w:t>A.</w:t>
      </w:r>
      <w:r>
        <w:rPr>
          <w:bCs/>
        </w:rPr>
        <w:tab/>
      </w:r>
      <w:r w:rsidRPr="001071E7">
        <w:rPr>
          <w:bCs/>
        </w:rPr>
        <w:t>Yes.</w:t>
      </w:r>
      <w:r w:rsidR="000B0709">
        <w:rPr>
          <w:bCs/>
        </w:rPr>
        <w:t xml:space="preserve"> The Company has not yet recovered </w:t>
      </w:r>
      <w:r w:rsidR="00B40AC1">
        <w:rPr>
          <w:bCs/>
        </w:rPr>
        <w:t>any</w:t>
      </w:r>
      <w:r w:rsidR="000B0709">
        <w:rPr>
          <w:bCs/>
        </w:rPr>
        <w:t xml:space="preserve"> taxes it paid through the construction period up to the time of the filing</w:t>
      </w:r>
      <w:r w:rsidR="003D4169">
        <w:rPr>
          <w:bCs/>
        </w:rPr>
        <w:t>,</w:t>
      </w:r>
      <w:r w:rsidR="000B0709">
        <w:rPr>
          <w:bCs/>
        </w:rPr>
        <w:t xml:space="preserve"> </w:t>
      </w:r>
      <w:r w:rsidR="00B40AC1">
        <w:rPr>
          <w:bCs/>
        </w:rPr>
        <w:t xml:space="preserve">including federal taxes paid at 35% and 21%, </w:t>
      </w:r>
      <w:r w:rsidR="000B0709">
        <w:rPr>
          <w:bCs/>
        </w:rPr>
        <w:t xml:space="preserve">and the </w:t>
      </w:r>
      <w:r w:rsidR="000B0709">
        <w:rPr>
          <w:bCs/>
        </w:rPr>
        <w:lastRenderedPageBreak/>
        <w:t xml:space="preserve">Commission has consistently approved income taxes as recoverable costs. </w:t>
      </w:r>
      <w:r w:rsidR="008453E2" w:rsidRPr="008453E2">
        <w:rPr>
          <w:bCs/>
        </w:rPr>
        <w:t xml:space="preserve">Income taxes, as is the case with other </w:t>
      </w:r>
      <w:r w:rsidR="00A25820">
        <w:rPr>
          <w:bCs/>
        </w:rPr>
        <w:t>O</w:t>
      </w:r>
      <w:r w:rsidR="00A25820" w:rsidRPr="008453E2">
        <w:rPr>
          <w:bCs/>
        </w:rPr>
        <w:t xml:space="preserve">perating </w:t>
      </w:r>
      <w:r w:rsidR="00A25820">
        <w:rPr>
          <w:bCs/>
        </w:rPr>
        <w:t>C</w:t>
      </w:r>
      <w:r w:rsidR="00A25820" w:rsidRPr="008453E2">
        <w:rPr>
          <w:bCs/>
        </w:rPr>
        <w:t>osts</w:t>
      </w:r>
      <w:r w:rsidR="008453E2" w:rsidRPr="008453E2">
        <w:rPr>
          <w:bCs/>
        </w:rPr>
        <w:t>, are costs incurred by the Company in order to provide service to its customers.</w:t>
      </w:r>
    </w:p>
    <w:p w14:paraId="776D8CEA" w14:textId="1518E5F1" w:rsidR="004C584B" w:rsidRPr="002A22E7" w:rsidRDefault="004C584B" w:rsidP="004C584B">
      <w:pPr>
        <w:pStyle w:val="BodyText"/>
        <w:spacing w:before="0" w:after="240" w:line="360" w:lineRule="auto"/>
        <w:ind w:left="720" w:hanging="720"/>
        <w:rPr>
          <w:rFonts w:eastAsia="MS Mincho"/>
          <w:b/>
          <w:szCs w:val="20"/>
          <w:u w:val="single"/>
          <w:lang w:eastAsia="en-US"/>
        </w:rPr>
      </w:pPr>
      <w:bookmarkStart w:id="10" w:name="_Hlk83085785"/>
      <w:r>
        <w:rPr>
          <w:b/>
        </w:rPr>
        <w:t>V</w:t>
      </w:r>
      <w:r w:rsidRPr="002A22E7">
        <w:rPr>
          <w:b/>
        </w:rPr>
        <w:t>.</w:t>
      </w:r>
      <w:r w:rsidRPr="002A22E7">
        <w:rPr>
          <w:b/>
        </w:rPr>
        <w:tab/>
      </w:r>
      <w:r w:rsidRPr="00CE2DD9">
        <w:rPr>
          <w:b/>
          <w:u w:val="single"/>
        </w:rPr>
        <w:t>Deferred Financing</w:t>
      </w:r>
      <w:r w:rsidRPr="002A22E7">
        <w:rPr>
          <w:b/>
          <w:u w:val="single"/>
        </w:rPr>
        <w:t xml:space="preserve"> Costs</w:t>
      </w:r>
    </w:p>
    <w:p w14:paraId="40C3E651" w14:textId="77777777" w:rsidR="004C584B" w:rsidRDefault="004C584B" w:rsidP="004C584B">
      <w:pPr>
        <w:pStyle w:val="BodyText"/>
        <w:spacing w:before="0" w:after="240" w:line="360" w:lineRule="auto"/>
        <w:ind w:left="720" w:hanging="720"/>
        <w:rPr>
          <w:b/>
        </w:rPr>
      </w:pPr>
      <w:r w:rsidRPr="00ED2B97">
        <w:rPr>
          <w:b/>
        </w:rPr>
        <w:t>Q.</w:t>
      </w:r>
      <w:r w:rsidRPr="00ED2B97">
        <w:rPr>
          <w:b/>
        </w:rPr>
        <w:tab/>
      </w:r>
      <w:r>
        <w:rPr>
          <w:b/>
        </w:rPr>
        <w:t>WHAT ARE THE FALLACIES IN PIA STAFF’S RECOMMENDATIONS REGARDING DEFERRED CARRYING COSTS?</w:t>
      </w:r>
    </w:p>
    <w:p w14:paraId="36678E43" w14:textId="6F5EAA5B" w:rsidR="004C584B" w:rsidRDefault="004C584B" w:rsidP="004C584B">
      <w:pPr>
        <w:pStyle w:val="BodyText"/>
        <w:spacing w:before="0" w:after="240" w:line="360" w:lineRule="auto"/>
        <w:ind w:left="720" w:hanging="720"/>
        <w:rPr>
          <w:bCs/>
        </w:rPr>
      </w:pPr>
      <w:r w:rsidRPr="00031A62">
        <w:rPr>
          <w:bCs/>
        </w:rPr>
        <w:t>A.</w:t>
      </w:r>
      <w:r w:rsidRPr="00031A62">
        <w:rPr>
          <w:bCs/>
        </w:rPr>
        <w:tab/>
      </w:r>
      <w:r>
        <w:rPr>
          <w:bCs/>
        </w:rPr>
        <w:t xml:space="preserve">PIA Staff’s assumption that, “the capital costs not included in base rates or NCCR rates were financed solely by long-term debt” is without merit. All of the Company’s infrastructure and operations are financed in total using a capital structure comprised of both investment capital (equity) and borrowed funds (debt). Current Unit 3 and Common facilities capital costs excluded from the NCCR tariff are earning an </w:t>
      </w:r>
      <w:proofErr w:type="spellStart"/>
      <w:r>
        <w:rPr>
          <w:bCs/>
        </w:rPr>
        <w:t>AFUDC</w:t>
      </w:r>
      <w:proofErr w:type="spellEnd"/>
      <w:r>
        <w:rPr>
          <w:bCs/>
        </w:rPr>
        <w:t xml:space="preserve"> rate, which includes both equity and debt components. Beginning in 2018,</w:t>
      </w:r>
      <w:r w:rsidR="00EB5B26">
        <w:rPr>
          <w:bCs/>
        </w:rPr>
        <w:t xml:space="preserve"> for regulatory recovery purposes,</w:t>
      </w:r>
      <w:r>
        <w:rPr>
          <w:bCs/>
        </w:rPr>
        <w:t xml:space="preserve"> the</w:t>
      </w:r>
      <w:r w:rsidR="00EB5B26">
        <w:rPr>
          <w:bCs/>
        </w:rPr>
        <w:t xml:space="preserve"> Commission set the</w:t>
      </w:r>
      <w:r>
        <w:rPr>
          <w:bCs/>
        </w:rPr>
        <w:t xml:space="preserve"> </w:t>
      </w:r>
      <w:proofErr w:type="spellStart"/>
      <w:r w:rsidR="00D8681A">
        <w:rPr>
          <w:bCs/>
        </w:rPr>
        <w:t>AFUDC</w:t>
      </w:r>
      <w:proofErr w:type="spellEnd"/>
      <w:r w:rsidR="00D8681A">
        <w:rPr>
          <w:bCs/>
        </w:rPr>
        <w:t xml:space="preserve"> </w:t>
      </w:r>
      <w:r>
        <w:rPr>
          <w:bCs/>
        </w:rPr>
        <w:t>cost of the equity component equal to the Company’s average cost of long-term debt as provided in paragraph 7 of the VCM 17 Order</w:t>
      </w:r>
      <w:r w:rsidR="00EB5B26">
        <w:rPr>
          <w:bCs/>
        </w:rPr>
        <w:t xml:space="preserve">; however, that order does not change either how the </w:t>
      </w:r>
      <w:r w:rsidR="008453E2">
        <w:rPr>
          <w:bCs/>
        </w:rPr>
        <w:t>P</w:t>
      </w:r>
      <w:r w:rsidR="00EB5B26">
        <w:rPr>
          <w:bCs/>
        </w:rPr>
        <w:t>roject has been financed or the actual costs of that financing</w:t>
      </w:r>
      <w:r>
        <w:rPr>
          <w:bCs/>
        </w:rPr>
        <w:t xml:space="preserve">. </w:t>
      </w:r>
    </w:p>
    <w:p w14:paraId="3DC97C34" w14:textId="77777777" w:rsidR="004C584B" w:rsidRPr="00331DE4" w:rsidRDefault="004C584B" w:rsidP="004C584B">
      <w:pPr>
        <w:pStyle w:val="BodyText"/>
        <w:spacing w:before="0" w:after="240" w:line="360" w:lineRule="auto"/>
        <w:ind w:left="720" w:hanging="720"/>
        <w:rPr>
          <w:b/>
        </w:rPr>
      </w:pPr>
      <w:r w:rsidRPr="00331DE4">
        <w:rPr>
          <w:b/>
        </w:rPr>
        <w:t>Q.</w:t>
      </w:r>
      <w:r w:rsidRPr="00331DE4">
        <w:rPr>
          <w:b/>
        </w:rPr>
        <w:tab/>
      </w:r>
      <w:r>
        <w:rPr>
          <w:b/>
        </w:rPr>
        <w:t>IS THERE ANY REASON THE FINANCING COSTS ON THE UNIT 3 AND COMMON FACILITIES CAPITAL COSTS NOT INCLUDED IN BASE RATES OR NCCR THAT THE COMPANY IS SEEKING TO DEFER SHOULD BE CALCULATED OR PRICED ANY DIFFERENTLY AFTER UNIT 3 ACHIEVES COMMERCIAL OPERATION THAN THEY ARE TODAY?</w:t>
      </w:r>
    </w:p>
    <w:p w14:paraId="75AEA4E3" w14:textId="77777777" w:rsidR="004C584B" w:rsidRDefault="004C584B" w:rsidP="004C584B">
      <w:pPr>
        <w:pStyle w:val="BodyText"/>
        <w:spacing w:before="0" w:after="240" w:line="360" w:lineRule="auto"/>
        <w:ind w:left="720" w:hanging="720"/>
        <w:rPr>
          <w:bCs/>
        </w:rPr>
      </w:pPr>
      <w:r w:rsidRPr="00D30F96">
        <w:rPr>
          <w:bCs/>
        </w:rPr>
        <w:t>A.</w:t>
      </w:r>
      <w:r>
        <w:rPr>
          <w:bCs/>
        </w:rPr>
        <w:tab/>
        <w:t xml:space="preserve">No. </w:t>
      </w:r>
      <w:r w:rsidRPr="00A61688">
        <w:rPr>
          <w:bCs/>
        </w:rPr>
        <w:t>Those capital costs will continue to be financed with both equity and debt components</w:t>
      </w:r>
      <w:r>
        <w:rPr>
          <w:bCs/>
        </w:rPr>
        <w:t>.</w:t>
      </w:r>
    </w:p>
    <w:p w14:paraId="47F89C0A" w14:textId="77777777" w:rsidR="004C584B" w:rsidRPr="006A33C2" w:rsidRDefault="004C584B" w:rsidP="004C584B">
      <w:pPr>
        <w:pStyle w:val="BodyText"/>
        <w:spacing w:before="0" w:after="240" w:line="360" w:lineRule="auto"/>
        <w:ind w:left="720" w:hanging="720"/>
        <w:rPr>
          <w:b/>
        </w:rPr>
      </w:pPr>
      <w:r w:rsidRPr="006A33C2">
        <w:rPr>
          <w:b/>
        </w:rPr>
        <w:t>Q.</w:t>
      </w:r>
      <w:r w:rsidRPr="006A33C2">
        <w:rPr>
          <w:b/>
        </w:rPr>
        <w:tab/>
      </w:r>
      <w:r>
        <w:rPr>
          <w:b/>
        </w:rPr>
        <w:t xml:space="preserve">IS PIA STAFF CORRECT THAT THE COMPANY CANNOT DEFER AN EQUITY RETURN </w:t>
      </w:r>
      <w:r w:rsidRPr="00A61688">
        <w:rPr>
          <w:b/>
        </w:rPr>
        <w:t>FOR FINANCIAL REPORTING PURPOSES</w:t>
      </w:r>
      <w:r>
        <w:rPr>
          <w:b/>
        </w:rPr>
        <w:t xml:space="preserve"> </w:t>
      </w:r>
      <w:r w:rsidRPr="00A61688">
        <w:rPr>
          <w:b/>
        </w:rPr>
        <w:t>UNDER THE CURRENT ACCOUNTING RULES</w:t>
      </w:r>
      <w:r>
        <w:rPr>
          <w:b/>
        </w:rPr>
        <w:t>?</w:t>
      </w:r>
    </w:p>
    <w:p w14:paraId="278703FA" w14:textId="67292ED3" w:rsidR="004C584B" w:rsidRDefault="004C584B" w:rsidP="004C584B">
      <w:pPr>
        <w:pStyle w:val="BodyText"/>
        <w:spacing w:before="0" w:after="240" w:line="360" w:lineRule="auto"/>
        <w:ind w:left="720" w:hanging="720"/>
        <w:rPr>
          <w:bCs/>
        </w:rPr>
      </w:pPr>
      <w:r>
        <w:rPr>
          <w:bCs/>
        </w:rPr>
        <w:lastRenderedPageBreak/>
        <w:t>A.</w:t>
      </w:r>
      <w:r>
        <w:rPr>
          <w:bCs/>
        </w:rPr>
        <w:tab/>
        <w:t xml:space="preserve">Yes. </w:t>
      </w:r>
      <w:r w:rsidRPr="00A61688">
        <w:rPr>
          <w:bCs/>
        </w:rPr>
        <w:t xml:space="preserve">However, the Company can defer an equity return approved by the Commission through a regulatory mechanism and reflected for regulatory reporting purposes. </w:t>
      </w:r>
      <w:r>
        <w:rPr>
          <w:bCs/>
        </w:rPr>
        <w:t xml:space="preserve">As discussed on page 18 of our Direct Testimony, with Commission approval the Company can defer debt financing to a regulatory asset </w:t>
      </w:r>
      <w:r w:rsidRPr="00A61688">
        <w:rPr>
          <w:bCs/>
        </w:rPr>
        <w:t>for financial reporting purposes</w:t>
      </w:r>
      <w:r w:rsidR="007047FE">
        <w:rPr>
          <w:bCs/>
        </w:rPr>
        <w:t>,</w:t>
      </w:r>
      <w:r>
        <w:rPr>
          <w:bCs/>
        </w:rPr>
        <w:t xml:space="preserve"> and the equity financing costs will be separately tracked and reflected as a regulatory adjustment in a future rate proceeding.</w:t>
      </w:r>
    </w:p>
    <w:p w14:paraId="01B04738" w14:textId="77777777" w:rsidR="004C584B" w:rsidRPr="00234A69" w:rsidRDefault="004C584B" w:rsidP="004C584B">
      <w:pPr>
        <w:pStyle w:val="BodyText"/>
        <w:spacing w:line="360" w:lineRule="auto"/>
        <w:ind w:left="720" w:hanging="720"/>
        <w:rPr>
          <w:b/>
          <w:bCs/>
        </w:rPr>
      </w:pPr>
      <w:r w:rsidRPr="00234A69">
        <w:rPr>
          <w:b/>
          <w:bCs/>
        </w:rPr>
        <w:t>Q.</w:t>
      </w:r>
      <w:r w:rsidRPr="00234A69">
        <w:rPr>
          <w:b/>
          <w:bCs/>
        </w:rPr>
        <w:tab/>
        <w:t xml:space="preserve">IS THE COMPANY FINANCIALLY BETTER OFF </w:t>
      </w:r>
      <w:r>
        <w:rPr>
          <w:b/>
          <w:bCs/>
        </w:rPr>
        <w:t>DEFERRING THE</w:t>
      </w:r>
      <w:r w:rsidRPr="00234A69">
        <w:rPr>
          <w:b/>
          <w:bCs/>
        </w:rPr>
        <w:t xml:space="preserve"> CARRYING COSTS ASSUMING 100 PERCENT DEBT FINANCING</w:t>
      </w:r>
      <w:r>
        <w:rPr>
          <w:b/>
          <w:bCs/>
        </w:rPr>
        <w:t xml:space="preserve"> AS PROPOSED BY PIA STAFF?</w:t>
      </w:r>
      <w:r w:rsidRPr="00234A69">
        <w:rPr>
          <w:b/>
          <w:bCs/>
        </w:rPr>
        <w:t xml:space="preserve"> </w:t>
      </w:r>
    </w:p>
    <w:p w14:paraId="62A8E810" w14:textId="77777777" w:rsidR="004C584B" w:rsidRPr="00234A69" w:rsidRDefault="004C584B" w:rsidP="004C584B">
      <w:pPr>
        <w:pStyle w:val="BodyText"/>
        <w:spacing w:line="360" w:lineRule="auto"/>
        <w:ind w:left="720" w:hanging="720"/>
        <w:rPr>
          <w:bCs/>
        </w:rPr>
      </w:pPr>
      <w:r w:rsidRPr="00234A69">
        <w:rPr>
          <w:bCs/>
        </w:rPr>
        <w:t>A.</w:t>
      </w:r>
      <w:r w:rsidRPr="00234A69">
        <w:rPr>
          <w:bCs/>
        </w:rPr>
        <w:tab/>
        <w:t>No. The Company’s real incurrence of its cost of equity financing cannot be “assumed” away</w:t>
      </w:r>
      <w:r>
        <w:rPr>
          <w:bCs/>
        </w:rPr>
        <w:t xml:space="preserve"> by applying 100 percent debt financing as proposed by PIA Staff</w:t>
      </w:r>
      <w:r w:rsidRPr="00234A69">
        <w:rPr>
          <w:bCs/>
        </w:rPr>
        <w:t>. This cost will continue to be incurred by the Company including the related income tax expenses.</w:t>
      </w:r>
      <w:r>
        <w:rPr>
          <w:bCs/>
        </w:rPr>
        <w:t xml:space="preserve"> </w:t>
      </w:r>
      <w:r w:rsidRPr="00234A69">
        <w:rPr>
          <w:bCs/>
        </w:rPr>
        <w:t>Under the Company’s proposal,</w:t>
      </w:r>
      <w:r>
        <w:rPr>
          <w:bCs/>
        </w:rPr>
        <w:t xml:space="preserve"> which applies Georgia Power’s current Commission-approved capital structure setting the cost of equity at the Company’s average cost of long-term debt,</w:t>
      </w:r>
      <w:r w:rsidRPr="00234A69">
        <w:rPr>
          <w:bCs/>
        </w:rPr>
        <w:t xml:space="preserve"> the regulatory adjustment to provide future recovery of the deferred equity financing costs would include the related income tax expense, making the Company whole. </w:t>
      </w:r>
    </w:p>
    <w:p w14:paraId="548EAC80" w14:textId="0E8E4FD8" w:rsidR="002A22E7" w:rsidRPr="002A22E7" w:rsidRDefault="002A22E7" w:rsidP="00F36CA0">
      <w:pPr>
        <w:pStyle w:val="BodyText"/>
        <w:keepNext/>
        <w:spacing w:after="240" w:line="360" w:lineRule="auto"/>
        <w:ind w:left="720" w:hanging="720"/>
        <w:rPr>
          <w:b/>
          <w:bCs/>
          <w:u w:val="single"/>
        </w:rPr>
      </w:pPr>
      <w:r w:rsidRPr="002A22E7">
        <w:rPr>
          <w:b/>
          <w:bCs/>
        </w:rPr>
        <w:t>VI.</w:t>
      </w:r>
      <w:r w:rsidRPr="002A22E7">
        <w:rPr>
          <w:b/>
          <w:bCs/>
        </w:rPr>
        <w:tab/>
      </w:r>
      <w:r w:rsidRPr="002A22E7">
        <w:rPr>
          <w:b/>
          <w:bCs/>
          <w:u w:val="single"/>
        </w:rPr>
        <w:t>Commercial Operation and Performance Conditions</w:t>
      </w:r>
    </w:p>
    <w:bookmarkEnd w:id="10"/>
    <w:p w14:paraId="1B96AFC0" w14:textId="1790FB9E" w:rsidR="00904DF2" w:rsidRDefault="00904DF2" w:rsidP="00F36CA0">
      <w:pPr>
        <w:pStyle w:val="BodyText"/>
        <w:spacing w:before="240" w:after="240" w:line="360" w:lineRule="auto"/>
        <w:ind w:left="720" w:hanging="720"/>
        <w:rPr>
          <w:b/>
          <w:bCs/>
        </w:rPr>
      </w:pPr>
      <w:r>
        <w:rPr>
          <w:b/>
          <w:bCs/>
        </w:rPr>
        <w:t>Q.</w:t>
      </w:r>
      <w:r>
        <w:rPr>
          <w:b/>
          <w:bCs/>
        </w:rPr>
        <w:tab/>
        <w:t>DID THE SIR STIPULATION DEFINE COMMERCIAL OPERATION?</w:t>
      </w:r>
    </w:p>
    <w:p w14:paraId="30118982" w14:textId="6D47C5F1" w:rsidR="00904DF2" w:rsidRDefault="00904DF2" w:rsidP="00F36CA0">
      <w:pPr>
        <w:pStyle w:val="BodyText"/>
        <w:spacing w:before="240" w:after="240" w:line="360" w:lineRule="auto"/>
        <w:ind w:left="720" w:hanging="720"/>
      </w:pPr>
      <w:r w:rsidRPr="00904DF2">
        <w:t>A.</w:t>
      </w:r>
      <w:r w:rsidRPr="00904DF2">
        <w:tab/>
        <w:t xml:space="preserve">Yes. </w:t>
      </w:r>
      <w:r>
        <w:t>The SIR Stipulation</w:t>
      </w:r>
      <w:r w:rsidR="009D606A">
        <w:t xml:space="preserve"> expressly</w:t>
      </w:r>
      <w:r>
        <w:t xml:space="preserve"> defined Commercial Operation as “fully dispatchable at the stated Net Electrical Output of 1,102</w:t>
      </w:r>
      <w:r w:rsidR="0006307F">
        <w:t xml:space="preserve"> MWe.”</w:t>
      </w:r>
    </w:p>
    <w:p w14:paraId="574838A0" w14:textId="4DF79289" w:rsidR="0006307F" w:rsidRDefault="0006307F" w:rsidP="00F36CA0">
      <w:pPr>
        <w:pStyle w:val="BodyText"/>
        <w:spacing w:before="240" w:after="240" w:line="360" w:lineRule="auto"/>
        <w:ind w:left="720" w:hanging="720"/>
        <w:rPr>
          <w:b/>
          <w:bCs/>
        </w:rPr>
      </w:pPr>
      <w:r>
        <w:rPr>
          <w:b/>
          <w:bCs/>
        </w:rPr>
        <w:t>Q.</w:t>
      </w:r>
      <w:r>
        <w:rPr>
          <w:b/>
          <w:bCs/>
        </w:rPr>
        <w:tab/>
        <w:t>DOES GEORGIA POWER AGREE WITH THIS DEFINITION?</w:t>
      </w:r>
    </w:p>
    <w:p w14:paraId="2353F64C" w14:textId="303FD0BF" w:rsidR="00C63590" w:rsidRPr="00C63590" w:rsidRDefault="0006307F" w:rsidP="00C63590">
      <w:pPr>
        <w:pStyle w:val="BodyText"/>
        <w:spacing w:before="240" w:after="240" w:line="360" w:lineRule="auto"/>
        <w:ind w:left="720" w:hanging="720"/>
      </w:pPr>
      <w:r w:rsidRPr="0006307F">
        <w:t>A.</w:t>
      </w:r>
      <w:r w:rsidRPr="0006307F">
        <w:tab/>
      </w:r>
      <w:r w:rsidR="003952BA">
        <w:t>Yes</w:t>
      </w:r>
      <w:r w:rsidR="00C63590" w:rsidRPr="00C63590">
        <w:t xml:space="preserve">, the Company agrees with the definition of Commercial Operation that was agreed to by the parties in the SIR Stipulation and approved by the Commission. </w:t>
      </w:r>
    </w:p>
    <w:p w14:paraId="7D89E862" w14:textId="3B414F25" w:rsidR="0006307F" w:rsidRPr="0006307F" w:rsidRDefault="0006307F" w:rsidP="00F36CA0">
      <w:pPr>
        <w:pStyle w:val="BodyText"/>
        <w:spacing w:before="240" w:after="240" w:line="360" w:lineRule="auto"/>
        <w:ind w:left="720" w:hanging="720"/>
        <w:rPr>
          <w:b/>
          <w:bCs/>
        </w:rPr>
      </w:pPr>
      <w:r w:rsidRPr="0006307F">
        <w:rPr>
          <w:b/>
          <w:bCs/>
        </w:rPr>
        <w:lastRenderedPageBreak/>
        <w:t>Q.</w:t>
      </w:r>
      <w:r w:rsidRPr="0006307F">
        <w:rPr>
          <w:b/>
          <w:bCs/>
        </w:rPr>
        <w:tab/>
        <w:t>PLEASE CLARIFY THE COMPANY’S POSITION ON THE PROCESS FOR DETERMINING THAT UNIT 3 HAS MET THE DEFINITION OF COMMERCIAL OPERATION AGREED TO IN THE SIR STIPULATION.</w:t>
      </w:r>
    </w:p>
    <w:p w14:paraId="53861030" w14:textId="7AC002E9" w:rsidR="0006307F" w:rsidRPr="001A379F" w:rsidRDefault="0006307F" w:rsidP="00F36CA0">
      <w:pPr>
        <w:pStyle w:val="BodyText"/>
        <w:spacing w:before="240" w:after="240" w:line="360" w:lineRule="auto"/>
        <w:ind w:left="720" w:hanging="720"/>
      </w:pPr>
      <w:r>
        <w:t>A.</w:t>
      </w:r>
      <w:r>
        <w:tab/>
      </w:r>
      <w:r w:rsidR="001272DA">
        <w:t xml:space="preserve">In terms of procedure, </w:t>
      </w:r>
      <w:r w:rsidR="002B147B">
        <w:t xml:space="preserve">Georgia Power proposes that </w:t>
      </w:r>
      <w:r w:rsidR="003D4169">
        <w:t>Southern Nuclear Operating Company</w:t>
      </w:r>
      <w:r w:rsidR="003D4169" w:rsidRPr="009D606A">
        <w:t xml:space="preserve"> </w:t>
      </w:r>
      <w:r w:rsidR="00BA38B1" w:rsidRPr="009D606A">
        <w:t>will determine, at the outset, whether Unit 3 is fully dispatchable at the stated net electrical output of 1,102</w:t>
      </w:r>
      <w:r w:rsidR="0034308C">
        <w:t xml:space="preserve"> </w:t>
      </w:r>
      <w:r w:rsidR="00BA38B1" w:rsidRPr="009D606A">
        <w:t xml:space="preserve">MWe (as required by the SIR Stipulation) along with </w:t>
      </w:r>
      <w:r w:rsidR="002B147B">
        <w:t>Georgia Power</w:t>
      </w:r>
      <w:r w:rsidR="00BA38B1" w:rsidRPr="009D606A">
        <w:t xml:space="preserve">, as agent and co-owner of the Unit. Then, </w:t>
      </w:r>
      <w:r w:rsidR="002B147B">
        <w:t>Georgia Power</w:t>
      </w:r>
      <w:r w:rsidR="00BA38B1" w:rsidRPr="009D606A">
        <w:t xml:space="preserve"> will provide notice to the Commission so that the </w:t>
      </w:r>
      <w:r w:rsidR="00BA38B1" w:rsidRPr="00BF4239">
        <w:t>Commission</w:t>
      </w:r>
      <w:r w:rsidR="00BA38B1" w:rsidRPr="009D606A">
        <w:t xml:space="preserve"> </w:t>
      </w:r>
      <w:r w:rsidR="00EB5B26">
        <w:t xml:space="preserve">is aware of the pending change in </w:t>
      </w:r>
      <w:r w:rsidR="003E5857">
        <w:t>rate</w:t>
      </w:r>
      <w:r w:rsidR="00684690">
        <w:t>s</w:t>
      </w:r>
      <w:r w:rsidR="00A97D41">
        <w:t>,</w:t>
      </w:r>
      <w:r w:rsidR="00EB5B26">
        <w:t xml:space="preserve"> which will be made</w:t>
      </w:r>
      <w:r w:rsidR="00A97D41">
        <w:t xml:space="preserve"> </w:t>
      </w:r>
      <w:r w:rsidR="00A97D41" w:rsidRPr="009D606A">
        <w:t xml:space="preserve">as </w:t>
      </w:r>
      <w:r w:rsidR="00684690">
        <w:t xml:space="preserve">directed by the final order in </w:t>
      </w:r>
      <w:r w:rsidR="00EB5B26">
        <w:t>this proceeding</w:t>
      </w:r>
      <w:r w:rsidR="00BA38B1" w:rsidRPr="009D606A">
        <w:t>.</w:t>
      </w:r>
    </w:p>
    <w:p w14:paraId="5C969962" w14:textId="02B7C1E9" w:rsidR="00BE0CEF" w:rsidRPr="00BE0CEF" w:rsidRDefault="00BE0CEF" w:rsidP="00BE0CEF">
      <w:pPr>
        <w:pStyle w:val="BodyText"/>
        <w:spacing w:line="360" w:lineRule="auto"/>
        <w:ind w:left="720" w:hanging="720"/>
        <w:rPr>
          <w:b/>
          <w:bCs/>
        </w:rPr>
      </w:pPr>
      <w:r w:rsidRPr="00BE0CEF">
        <w:rPr>
          <w:b/>
          <w:bCs/>
        </w:rPr>
        <w:t>Q.</w:t>
      </w:r>
      <w:r w:rsidRPr="00BE0CEF">
        <w:rPr>
          <w:b/>
          <w:bCs/>
        </w:rPr>
        <w:tab/>
        <w:t>WHAT IS THE COMPANY’S CRITERIA FOR DETERMINING THAT UNIT 3 IS FULLY DISPATCHABLE ON DEMAND AT THE STATED NET ELECTRICAL OUTPUT OF 1,102</w:t>
      </w:r>
      <w:r w:rsidR="0034308C">
        <w:rPr>
          <w:b/>
          <w:bCs/>
        </w:rPr>
        <w:t xml:space="preserve"> </w:t>
      </w:r>
      <w:r w:rsidRPr="00BE0CEF">
        <w:rPr>
          <w:b/>
          <w:bCs/>
        </w:rPr>
        <w:t xml:space="preserve">MWE? </w:t>
      </w:r>
    </w:p>
    <w:p w14:paraId="18873B37" w14:textId="77777777" w:rsidR="00BE0CEF" w:rsidRPr="00BE0CEF" w:rsidRDefault="00BE0CEF" w:rsidP="00BE0CEF">
      <w:pPr>
        <w:pStyle w:val="BodyText"/>
        <w:spacing w:line="360" w:lineRule="auto"/>
        <w:ind w:left="720" w:hanging="720"/>
      </w:pPr>
      <w:r w:rsidRPr="00BE0CEF">
        <w:t>A.</w:t>
      </w:r>
      <w:r w:rsidRPr="00BE0CEF">
        <w:tab/>
        <w:t xml:space="preserve">The Company will deem Unit 3 to be fully dispatchable on demand when it has completed start-up testing and is fully operational. Unit 3 is scheduled to operate for approximately 560 hours at or above 1,102 MWe during start-up prior to commercial operation. </w:t>
      </w:r>
    </w:p>
    <w:p w14:paraId="569DB07D" w14:textId="7046E0F1" w:rsidR="00904DF2" w:rsidRPr="00904DF2" w:rsidRDefault="00904DF2" w:rsidP="00F36CA0">
      <w:pPr>
        <w:pStyle w:val="BodyText"/>
        <w:spacing w:before="240" w:after="240" w:line="360" w:lineRule="auto"/>
        <w:ind w:left="720" w:hanging="720"/>
        <w:rPr>
          <w:b/>
          <w:bCs/>
        </w:rPr>
      </w:pPr>
      <w:r w:rsidRPr="00904DF2">
        <w:rPr>
          <w:b/>
          <w:bCs/>
        </w:rPr>
        <w:t>Q.</w:t>
      </w:r>
      <w:r w:rsidRPr="00904DF2">
        <w:rPr>
          <w:b/>
          <w:bCs/>
        </w:rPr>
        <w:tab/>
        <w:t>DOES THE COMMISSION NEED TO DETERMINE ADDITIONAL PERFORMANCE CRITERIA FOR MEASURING UNIT 3 PERFORMANCE POST</w:t>
      </w:r>
      <w:r w:rsidR="005E5537">
        <w:rPr>
          <w:b/>
          <w:bCs/>
        </w:rPr>
        <w:t>-</w:t>
      </w:r>
      <w:r w:rsidRPr="00904DF2">
        <w:rPr>
          <w:b/>
          <w:bCs/>
        </w:rPr>
        <w:t xml:space="preserve">COMMERCIAL OPERATION? </w:t>
      </w:r>
    </w:p>
    <w:p w14:paraId="42C64782" w14:textId="022E412F" w:rsidR="00DD534E" w:rsidRDefault="00904DF2" w:rsidP="00F36CA0">
      <w:pPr>
        <w:pStyle w:val="BodyText"/>
        <w:spacing w:before="240" w:after="240" w:line="360" w:lineRule="auto"/>
        <w:ind w:left="720" w:hanging="720"/>
      </w:pPr>
      <w:r>
        <w:t xml:space="preserve">A. </w:t>
      </w:r>
      <w:r>
        <w:tab/>
        <w:t xml:space="preserve">No. </w:t>
      </w:r>
      <w:r w:rsidR="001A379F">
        <w:t xml:space="preserve">As stated previously, if there are post-commercial operation </w:t>
      </w:r>
      <w:r w:rsidR="00A97D41">
        <w:t>issues</w:t>
      </w:r>
      <w:r w:rsidR="001A379F">
        <w:t xml:space="preserve"> regarding unit performance and related cost impacts, other proceedings like the fuel case, ASR, or rate case are where the Commission and its Staff should appropriately review and evaluate any operational concerns. </w:t>
      </w:r>
      <w:r w:rsidR="00DD534E" w:rsidRPr="00DD534E">
        <w:t>PIA Staff’s proposed additional criteria would impose an automatic disallowance should</w:t>
      </w:r>
      <w:r w:rsidR="00B44BD5">
        <w:t xml:space="preserve"> the</w:t>
      </w:r>
      <w:r w:rsidR="00DD534E" w:rsidRPr="00DD534E">
        <w:t xml:space="preserve"> strict performance criteria not be met, which is contrary to how other operational cost recovery determinations are made.</w:t>
      </w:r>
    </w:p>
    <w:p w14:paraId="12E8B286" w14:textId="77777777" w:rsidR="00DD534E" w:rsidRPr="00DD534E" w:rsidRDefault="00DD534E" w:rsidP="00F36CA0">
      <w:pPr>
        <w:pStyle w:val="BodyText"/>
        <w:spacing w:line="360" w:lineRule="auto"/>
        <w:ind w:left="720" w:hanging="720"/>
      </w:pPr>
      <w:r w:rsidRPr="00DD534E">
        <w:rPr>
          <w:b/>
          <w:bCs/>
        </w:rPr>
        <w:t>Q.</w:t>
      </w:r>
      <w:r w:rsidRPr="00DD534E">
        <w:rPr>
          <w:b/>
          <w:bCs/>
        </w:rPr>
        <w:tab/>
        <w:t>ARE PIA STAFF’S ADDITIONAL PERFORMANCE CRITERIA SUPPORTED BY THE SIR STIPULATION?</w:t>
      </w:r>
    </w:p>
    <w:p w14:paraId="54CA7AAE" w14:textId="3B7AF200" w:rsidR="00904DF2" w:rsidRDefault="00DD534E" w:rsidP="00F36CA0">
      <w:pPr>
        <w:pStyle w:val="BodyText"/>
        <w:spacing w:before="240" w:after="240" w:line="360" w:lineRule="auto"/>
        <w:ind w:left="720" w:hanging="720"/>
      </w:pPr>
      <w:r w:rsidRPr="00DD534E">
        <w:lastRenderedPageBreak/>
        <w:t>A.</w:t>
      </w:r>
      <w:r w:rsidRPr="00DD534E">
        <w:tab/>
        <w:t xml:space="preserve">No. </w:t>
      </w:r>
      <w:r w:rsidR="00D803A2">
        <w:t xml:space="preserve">As stated by the Jacobs, Roetger, and Grace panel, each party ceded benefits and accepted detriments </w:t>
      </w:r>
      <w:r w:rsidR="005E5537">
        <w:t xml:space="preserve">as </w:t>
      </w:r>
      <w:r w:rsidR="00D803A2">
        <w:t>part of the negotiation process in reaching agreement on the SIR Stipulation. Both parties agreed to the definition of Commercial Operation and neither party agreed to other operational limitations or conditions on cost recovery</w:t>
      </w:r>
      <w:r w:rsidR="00F2101D">
        <w:t>, beyond those already provided for in the SIR Stipulation</w:t>
      </w:r>
      <w:r w:rsidR="00D803A2">
        <w:t xml:space="preserve">. </w:t>
      </w:r>
      <w:r w:rsidR="003A2ACE" w:rsidRPr="003A2ACE">
        <w:t>By seeking to impose such operational restrictions on the Company at this point, PIA Staff is seeking to alter the agreed upon terms of the SIR Stipulation.</w:t>
      </w:r>
    </w:p>
    <w:p w14:paraId="296BF568" w14:textId="19986E6F" w:rsidR="002A22E7" w:rsidRPr="002A22E7" w:rsidRDefault="002A22E7" w:rsidP="001272DA">
      <w:pPr>
        <w:pStyle w:val="BodyText"/>
        <w:keepNext/>
        <w:spacing w:before="240" w:after="240" w:line="360" w:lineRule="auto"/>
        <w:ind w:left="720" w:hanging="720"/>
        <w:rPr>
          <w:b/>
          <w:bCs/>
          <w:u w:val="single"/>
        </w:rPr>
      </w:pPr>
      <w:r w:rsidRPr="002A22E7">
        <w:rPr>
          <w:b/>
          <w:bCs/>
        </w:rPr>
        <w:t>VII.</w:t>
      </w:r>
      <w:r w:rsidRPr="002A22E7">
        <w:rPr>
          <w:b/>
          <w:bCs/>
        </w:rPr>
        <w:tab/>
      </w:r>
      <w:r w:rsidRPr="002A22E7">
        <w:rPr>
          <w:b/>
          <w:bCs/>
          <w:u w:val="single"/>
        </w:rPr>
        <w:t>Response to Intervenor Requests</w:t>
      </w:r>
    </w:p>
    <w:p w14:paraId="32B59ADA" w14:textId="52582BD7" w:rsidR="00031A62" w:rsidRDefault="00A57B8A" w:rsidP="001272DA">
      <w:pPr>
        <w:pStyle w:val="BodyText"/>
        <w:keepNext/>
        <w:spacing w:before="240" w:after="240" w:line="360" w:lineRule="auto"/>
        <w:ind w:left="720" w:hanging="720"/>
        <w:rPr>
          <w:b/>
          <w:bCs/>
        </w:rPr>
      </w:pPr>
      <w:r>
        <w:rPr>
          <w:b/>
          <w:bCs/>
        </w:rPr>
        <w:t>Q.</w:t>
      </w:r>
      <w:r>
        <w:rPr>
          <w:b/>
          <w:bCs/>
        </w:rPr>
        <w:tab/>
        <w:t xml:space="preserve">WHAT IS GEORGIA POWER’S RESPONSE TO </w:t>
      </w:r>
      <w:r w:rsidR="00F77657">
        <w:rPr>
          <w:b/>
          <w:bCs/>
        </w:rPr>
        <w:t>GAM’S PROPOSAL TO DEFER BOTH THE UNIT 3 RATE INCREASE AND THE NCCR RATE REDUCTION TO JANUARY 1, 2023?</w:t>
      </w:r>
    </w:p>
    <w:p w14:paraId="2DEC824E" w14:textId="5865018B" w:rsidR="00F77657" w:rsidRPr="00F77657" w:rsidRDefault="00F77657" w:rsidP="00F36CA0">
      <w:pPr>
        <w:pStyle w:val="BodyText"/>
        <w:spacing w:before="240" w:after="240" w:line="360" w:lineRule="auto"/>
        <w:ind w:left="720" w:hanging="720"/>
      </w:pPr>
      <w:r>
        <w:t>A.</w:t>
      </w:r>
      <w:r>
        <w:tab/>
        <w:t xml:space="preserve">Georgia Power </w:t>
      </w:r>
      <w:r w:rsidR="009D606A">
        <w:t xml:space="preserve">respectfully </w:t>
      </w:r>
      <w:r>
        <w:t xml:space="preserve">disagrees with </w:t>
      </w:r>
      <w:proofErr w:type="spellStart"/>
      <w:r>
        <w:t>GAM’s</w:t>
      </w:r>
      <w:proofErr w:type="spellEnd"/>
      <w:r>
        <w:t xml:space="preserve"> alternative recommendation to defer the Unit 3 rate adjustment and corresponding NCCR rate reduction until January 1, 2023.</w:t>
      </w:r>
      <w:r w:rsidR="009D20B3">
        <w:t xml:space="preserve"> First, the </w:t>
      </w:r>
      <w:r w:rsidR="001E69FE">
        <w:t xml:space="preserve">proposed </w:t>
      </w:r>
      <w:r w:rsidR="009D20B3">
        <w:t xml:space="preserve">deferral </w:t>
      </w:r>
      <w:r w:rsidR="003A2ACE" w:rsidRPr="003A2ACE">
        <w:t xml:space="preserve">is contrary to one of the intended goals of the Commission’s VCM 17 Order, which incentivized the Company to complete Unit 3 as soon as possible by allowing </w:t>
      </w:r>
      <w:r w:rsidR="009D20B3">
        <w:t>the Company to recover</w:t>
      </w:r>
      <w:r w:rsidR="003E5857">
        <w:t xml:space="preserve"> in base rates</w:t>
      </w:r>
      <w:r w:rsidR="009D20B3">
        <w:t xml:space="preserve"> the Unit 3 and Common costs previously deemed prudent in the SIR Stipulation in the month following Unit 3 Commercial Operation.</w:t>
      </w:r>
      <w:r w:rsidR="001E69FE">
        <w:t xml:space="preserve"> Second, although the in-service date for Unit 3 has been delayed, Georgia Power’s customers have known about the plan and timing of this rate adjustment since January 2018. Third, by delaying placing the Unit 3 and Common portion of the previously deemed prudent amounts in base rates and keeping capital costs in NCCR longer, the Company will be unnecessarily penalized with a lower return on these </w:t>
      </w:r>
      <w:r w:rsidR="0063190F">
        <w:t xml:space="preserve">capital costs </w:t>
      </w:r>
      <w:r w:rsidR="00EB5B26">
        <w:t xml:space="preserve">while </w:t>
      </w:r>
      <w:r w:rsidR="0063190F">
        <w:t xml:space="preserve">Unit 3 will </w:t>
      </w:r>
      <w:r w:rsidR="00EB5B26">
        <w:t>be</w:t>
      </w:r>
      <w:r w:rsidR="0063190F">
        <w:t xml:space="preserve"> in service and operating</w:t>
      </w:r>
      <w:r w:rsidR="002B147B">
        <w:t xml:space="preserve"> for the benefit of all customers</w:t>
      </w:r>
      <w:r w:rsidR="0063190F">
        <w:t>.</w:t>
      </w:r>
    </w:p>
    <w:p w14:paraId="7684A8DF" w14:textId="77777777" w:rsidR="0063190F" w:rsidRDefault="0063190F" w:rsidP="00F36CA0">
      <w:pPr>
        <w:pStyle w:val="BodyText"/>
        <w:spacing w:before="0" w:after="240" w:line="360" w:lineRule="auto"/>
        <w:ind w:left="720" w:hanging="720"/>
        <w:rPr>
          <w:b/>
        </w:rPr>
      </w:pPr>
      <w:r w:rsidRPr="00ED2B97">
        <w:rPr>
          <w:b/>
        </w:rPr>
        <w:t>Q.</w:t>
      </w:r>
      <w:r w:rsidRPr="00ED2B97">
        <w:rPr>
          <w:b/>
        </w:rPr>
        <w:tab/>
      </w:r>
      <w:r>
        <w:rPr>
          <w:b/>
        </w:rPr>
        <w:t xml:space="preserve">WHAT IS GEORGIA POWER’S RESPONSE TO MARTA’S REQUEST NOT TO INCREASE ITS RATES? </w:t>
      </w:r>
    </w:p>
    <w:p w14:paraId="5A4F70AA" w14:textId="057B511F" w:rsidR="0063190F" w:rsidRPr="00031A62" w:rsidRDefault="0063190F" w:rsidP="00F36CA0">
      <w:pPr>
        <w:pStyle w:val="BodyText"/>
        <w:spacing w:before="0" w:after="240" w:line="360" w:lineRule="auto"/>
        <w:ind w:left="720" w:hanging="720"/>
        <w:rPr>
          <w:rFonts w:eastAsia="MS Mincho"/>
          <w:bCs/>
          <w:szCs w:val="20"/>
          <w:lang w:eastAsia="en-US"/>
        </w:rPr>
      </w:pPr>
      <w:r w:rsidRPr="00031A62">
        <w:rPr>
          <w:bCs/>
        </w:rPr>
        <w:t>A.</w:t>
      </w:r>
      <w:r w:rsidRPr="00031A62">
        <w:rPr>
          <w:bCs/>
        </w:rPr>
        <w:tab/>
      </w:r>
      <w:r>
        <w:rPr>
          <w:bCs/>
        </w:rPr>
        <w:t xml:space="preserve">Georgia Power fully appreciates the important role that MARTA plays in the economic development of the state of Georgia and acknowledges that </w:t>
      </w:r>
      <w:proofErr w:type="spellStart"/>
      <w:r>
        <w:rPr>
          <w:bCs/>
        </w:rPr>
        <w:t>MARTA’s</w:t>
      </w:r>
      <w:proofErr w:type="spellEnd"/>
      <w:r>
        <w:rPr>
          <w:bCs/>
        </w:rPr>
        <w:t xml:space="preserve"> ridership has been </w:t>
      </w:r>
      <w:r>
        <w:rPr>
          <w:bCs/>
        </w:rPr>
        <w:lastRenderedPageBreak/>
        <w:t>substantially impacted by the onset of the COVID-19 pandemic. However, many</w:t>
      </w:r>
      <w:r w:rsidR="00F2650C">
        <w:rPr>
          <w:bCs/>
        </w:rPr>
        <w:t>,</w:t>
      </w:r>
      <w:r>
        <w:rPr>
          <w:bCs/>
        </w:rPr>
        <w:t xml:space="preserve"> if not all</w:t>
      </w:r>
      <w:r w:rsidR="002B147B">
        <w:rPr>
          <w:bCs/>
        </w:rPr>
        <w:t>,</w:t>
      </w:r>
      <w:r>
        <w:rPr>
          <w:bCs/>
        </w:rPr>
        <w:t xml:space="preserve"> of Georgia Power’s customers</w:t>
      </w:r>
      <w:r w:rsidR="00C63590">
        <w:rPr>
          <w:bCs/>
        </w:rPr>
        <w:t>, large</w:t>
      </w:r>
      <w:r>
        <w:rPr>
          <w:bCs/>
        </w:rPr>
        <w:t xml:space="preserve"> and small</w:t>
      </w:r>
      <w:r w:rsidR="00C63590">
        <w:rPr>
          <w:bCs/>
        </w:rPr>
        <w:t>,</w:t>
      </w:r>
      <w:r>
        <w:rPr>
          <w:bCs/>
        </w:rPr>
        <w:t xml:space="preserve"> have been impacted by the pandemic. The Company does not believe it is appropriate to exempt or carve out special treatment for one customer or customer class from the Unit 3 rate adjustment. All of Georgia Power’s customers will benefit from the long-term</w:t>
      </w:r>
      <w:r w:rsidR="00CA7CD0">
        <w:rPr>
          <w:bCs/>
        </w:rPr>
        <w:t>, carbon-free,</w:t>
      </w:r>
      <w:r>
        <w:rPr>
          <w:bCs/>
        </w:rPr>
        <w:t xml:space="preserve"> </w:t>
      </w:r>
      <w:r w:rsidR="00BA38B1">
        <w:rPr>
          <w:bCs/>
        </w:rPr>
        <w:t xml:space="preserve">baseload </w:t>
      </w:r>
      <w:r>
        <w:rPr>
          <w:bCs/>
        </w:rPr>
        <w:t>generation from Vogtle Unit 3 (and Unit 4)</w:t>
      </w:r>
      <w:r w:rsidR="00286442">
        <w:rPr>
          <w:bCs/>
        </w:rPr>
        <w:t>. Upon completion</w:t>
      </w:r>
      <w:r w:rsidR="00C63590">
        <w:rPr>
          <w:bCs/>
        </w:rPr>
        <w:t>,</w:t>
      </w:r>
      <w:r w:rsidR="00286442">
        <w:rPr>
          <w:bCs/>
        </w:rPr>
        <w:t xml:space="preserve"> the units will be economic assets not only to Georgia Power, but also to customers, the state of Georgia</w:t>
      </w:r>
      <w:r w:rsidR="00E63E11">
        <w:rPr>
          <w:bCs/>
        </w:rPr>
        <w:t>,</w:t>
      </w:r>
      <w:r w:rsidR="00286442">
        <w:rPr>
          <w:bCs/>
        </w:rPr>
        <w:t xml:space="preserve"> and the nation for 60 years</w:t>
      </w:r>
      <w:r>
        <w:rPr>
          <w:bCs/>
        </w:rPr>
        <w:t>. Therefore, it is appropriate for all of Georgia Power’s customers to share in this rate adjustment</w:t>
      </w:r>
      <w:r w:rsidR="00A61688">
        <w:rPr>
          <w:bCs/>
        </w:rPr>
        <w:t>,</w:t>
      </w:r>
      <w:r>
        <w:rPr>
          <w:bCs/>
        </w:rPr>
        <w:t xml:space="preserve"> and the Company has proposed to design rates to recover the Unit 3 rate adjustment equally across </w:t>
      </w:r>
      <w:r w:rsidR="006977C6">
        <w:rPr>
          <w:bCs/>
        </w:rPr>
        <w:t>all base tariffs</w:t>
      </w:r>
      <w:r>
        <w:rPr>
          <w:bCs/>
        </w:rPr>
        <w:t>. That said, cost allocation is a policy decision for this Commission</w:t>
      </w:r>
      <w:r w:rsidR="00A61688">
        <w:rPr>
          <w:bCs/>
        </w:rPr>
        <w:t>,</w:t>
      </w:r>
      <w:r>
        <w:rPr>
          <w:bCs/>
        </w:rPr>
        <w:t xml:space="preserve"> and the Commission is free to determine that a different allocation is appropriate. </w:t>
      </w:r>
    </w:p>
    <w:p w14:paraId="57CFE753" w14:textId="35BD0773" w:rsidR="00AB690A" w:rsidRPr="00AB690A" w:rsidRDefault="00AB690A" w:rsidP="00F36CA0">
      <w:pPr>
        <w:pStyle w:val="BodyText"/>
        <w:keepNext/>
        <w:spacing w:before="240" w:after="240" w:line="360" w:lineRule="auto"/>
        <w:ind w:left="720" w:hanging="720"/>
        <w:rPr>
          <w:b/>
          <w:bCs/>
        </w:rPr>
      </w:pPr>
      <w:r w:rsidRPr="00AB690A">
        <w:rPr>
          <w:b/>
          <w:bCs/>
        </w:rPr>
        <w:t>Q.</w:t>
      </w:r>
      <w:r w:rsidRPr="00AB690A">
        <w:rPr>
          <w:b/>
          <w:bCs/>
        </w:rPr>
        <w:tab/>
        <w:t>DOES THIS CONCLUDE YOUR TESTIMONY?</w:t>
      </w:r>
    </w:p>
    <w:p w14:paraId="45976FE5" w14:textId="1ACD92D9" w:rsidR="00832940" w:rsidRDefault="00AB690A" w:rsidP="00F36CA0">
      <w:pPr>
        <w:pStyle w:val="BodyText"/>
        <w:keepNext/>
        <w:spacing w:before="0" w:after="0" w:line="360" w:lineRule="auto"/>
        <w:ind w:left="720" w:hanging="720"/>
      </w:pPr>
      <w:r>
        <w:t>A.</w:t>
      </w:r>
      <w:r>
        <w:tab/>
        <w:t>Yes.</w:t>
      </w:r>
      <w:bookmarkEnd w:id="2"/>
      <w:bookmarkEnd w:id="3"/>
      <w:bookmarkEnd w:id="4"/>
      <w:bookmarkEnd w:id="5"/>
    </w:p>
    <w:sectPr w:rsidR="00832940" w:rsidSect="00A806F8">
      <w:footerReference w:type="default" r:id="rId8"/>
      <w:headerReference w:type="first" r:id="rId9"/>
      <w:footerReference w:type="first" r:id="rId10"/>
      <w:pgSz w:w="12240" w:h="15840" w:code="1"/>
      <w:pgMar w:top="1728" w:right="1440" w:bottom="1728"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272C5" w14:textId="77777777" w:rsidR="00FE7E6C" w:rsidRDefault="00FE7E6C">
      <w:r>
        <w:separator/>
      </w:r>
    </w:p>
  </w:endnote>
  <w:endnote w:type="continuationSeparator" w:id="0">
    <w:p w14:paraId="33AC6851" w14:textId="77777777" w:rsidR="00FE7E6C" w:rsidRDefault="00FE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D21A5" w14:textId="77777777" w:rsidR="00684690" w:rsidRDefault="00684690" w:rsidP="007A275F">
    <w:pPr>
      <w:pStyle w:val="Footer"/>
    </w:pPr>
  </w:p>
  <w:p w14:paraId="73B5B7C4" w14:textId="78FE68C9" w:rsidR="00684690" w:rsidRDefault="00684690" w:rsidP="007A275F">
    <w:pPr>
      <w:pStyle w:val="Footer"/>
      <w:jc w:val="center"/>
    </w:pPr>
    <w:r>
      <w:t xml:space="preserve">Rebuttal Testimony of </w:t>
    </w:r>
    <w:r w:rsidRPr="000548A3">
      <w:t xml:space="preserve">Aaron P. Abramovitz </w:t>
    </w:r>
    <w:r>
      <w:t>and Sarah P. Adams</w:t>
    </w:r>
  </w:p>
  <w:p w14:paraId="3D8F6C52" w14:textId="2DCEDB09" w:rsidR="00684690" w:rsidRDefault="00684690" w:rsidP="007A275F">
    <w:pPr>
      <w:pStyle w:val="Footer"/>
      <w:jc w:val="center"/>
    </w:pPr>
    <w:r>
      <w:t xml:space="preserve">On Behalf of Georgia Power Company </w:t>
    </w:r>
  </w:p>
  <w:p w14:paraId="0810C1C0" w14:textId="66CA34AF" w:rsidR="00684690" w:rsidRDefault="00684690" w:rsidP="007A275F">
    <w:pPr>
      <w:pStyle w:val="Footer"/>
      <w:jc w:val="center"/>
    </w:pPr>
    <w:r>
      <w:t xml:space="preserve">Docket No. </w:t>
    </w:r>
    <w:r w:rsidRPr="0090208E">
      <w:t>4</w:t>
    </w:r>
    <w:r>
      <w:t>3838</w:t>
    </w:r>
  </w:p>
  <w:sdt>
    <w:sdtPr>
      <w:id w:val="738137494"/>
      <w:docPartObj>
        <w:docPartGallery w:val="Page Numbers (Bottom of Page)"/>
        <w:docPartUnique/>
      </w:docPartObj>
    </w:sdtPr>
    <w:sdtEndPr/>
    <w:sdtContent>
      <w:sdt>
        <w:sdtPr>
          <w:id w:val="1728636285"/>
          <w:docPartObj>
            <w:docPartGallery w:val="Page Numbers (Top of Page)"/>
            <w:docPartUnique/>
          </w:docPartObj>
        </w:sdtPr>
        <w:sdtEndPr/>
        <w:sdtContent>
          <w:p w14:paraId="59F273F6" w14:textId="2B663BF9" w:rsidR="00684690" w:rsidRDefault="00684690" w:rsidP="00A62489">
            <w:pPr>
              <w:pStyle w:val="Footer"/>
              <w:jc w:val="center"/>
            </w:pPr>
            <w:r>
              <w:t>Page</w:t>
            </w:r>
            <w:r w:rsidRPr="00363BA0">
              <w:t xml:space="preserve"> </w:t>
            </w:r>
            <w:r w:rsidRPr="00363BA0">
              <w:rPr>
                <w:bCs/>
                <w:sz w:val="24"/>
                <w:szCs w:val="24"/>
              </w:rPr>
              <w:fldChar w:fldCharType="begin"/>
            </w:r>
            <w:r w:rsidRPr="00363BA0">
              <w:rPr>
                <w:bCs/>
              </w:rPr>
              <w:instrText xml:space="preserve"> PAGE </w:instrText>
            </w:r>
            <w:r w:rsidRPr="00363BA0">
              <w:rPr>
                <w:bCs/>
                <w:sz w:val="24"/>
                <w:szCs w:val="24"/>
              </w:rPr>
              <w:fldChar w:fldCharType="separate"/>
            </w:r>
            <w:r w:rsidRPr="00363BA0">
              <w:rPr>
                <w:bCs/>
                <w:noProof/>
              </w:rPr>
              <w:t>2</w:t>
            </w:r>
            <w:r w:rsidRPr="00363BA0">
              <w:rPr>
                <w:bCs/>
                <w:sz w:val="24"/>
                <w:szCs w:val="24"/>
              </w:rPr>
              <w:fldChar w:fldCharType="end"/>
            </w:r>
            <w:r>
              <w:t xml:space="preserve"> of </w:t>
            </w:r>
            <w:r w:rsidRPr="00363BA0">
              <w:rPr>
                <w:bCs/>
                <w:sz w:val="24"/>
                <w:szCs w:val="24"/>
              </w:rPr>
              <w:fldChar w:fldCharType="begin"/>
            </w:r>
            <w:r w:rsidRPr="00363BA0">
              <w:rPr>
                <w:bCs/>
              </w:rPr>
              <w:instrText xml:space="preserve"> NUMPAGES  </w:instrText>
            </w:r>
            <w:r w:rsidRPr="00363BA0">
              <w:rPr>
                <w:bCs/>
                <w:sz w:val="24"/>
                <w:szCs w:val="24"/>
              </w:rPr>
              <w:fldChar w:fldCharType="separate"/>
            </w:r>
            <w:r w:rsidRPr="00363BA0">
              <w:rPr>
                <w:bCs/>
                <w:noProof/>
              </w:rPr>
              <w:t>2</w:t>
            </w:r>
            <w:r w:rsidRPr="00363BA0">
              <w:rPr>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CBBEF" w14:textId="77777777" w:rsidR="00684690" w:rsidRDefault="00684690">
    <w:pPr>
      <w:pStyle w:val="Footer"/>
      <w:jc w:val="center"/>
    </w:pPr>
    <w:r>
      <w:t>____________________________________________________________________________________________</w:t>
    </w:r>
  </w:p>
  <w:p w14:paraId="2DE982F0" w14:textId="77777777" w:rsidR="00684690" w:rsidRDefault="00684690" w:rsidP="00A806F8">
    <w:pPr>
      <w:pStyle w:val="Footer"/>
      <w:jc w:val="center"/>
    </w:pPr>
    <w:r>
      <w:t xml:space="preserve">Direct Testimony of </w:t>
    </w:r>
    <w:r w:rsidRPr="000548A3">
      <w:t xml:space="preserve">Aaron P. Abramovitz </w:t>
    </w:r>
    <w:r>
      <w:t>and Sarah P. Adams</w:t>
    </w:r>
  </w:p>
  <w:p w14:paraId="6D8929FF" w14:textId="77777777" w:rsidR="00684690" w:rsidRDefault="00684690">
    <w:pPr>
      <w:pStyle w:val="Footer"/>
      <w:jc w:val="center"/>
    </w:pPr>
    <w:r>
      <w:t xml:space="preserve">On Behalf of Georgia Power Company </w:t>
    </w:r>
  </w:p>
  <w:p w14:paraId="421D1971" w14:textId="24A9D609" w:rsidR="00684690" w:rsidRDefault="00684690">
    <w:pPr>
      <w:pStyle w:val="Footer"/>
      <w:jc w:val="center"/>
    </w:pPr>
    <w:r>
      <w:t>Docket No. 43838</w:t>
    </w:r>
  </w:p>
  <w:p w14:paraId="7165DCFD" w14:textId="0472DE03" w:rsidR="00684690" w:rsidRDefault="00684690">
    <w:pPr>
      <w:pStyle w:val="Foote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noProof/>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17E0A" w14:textId="77777777" w:rsidR="00FE7E6C" w:rsidRDefault="00FE7E6C">
      <w:r>
        <w:separator/>
      </w:r>
    </w:p>
  </w:footnote>
  <w:footnote w:type="continuationSeparator" w:id="0">
    <w:p w14:paraId="3B73FFAF" w14:textId="77777777" w:rsidR="00FE7E6C" w:rsidRDefault="00FE7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1C96" w14:textId="77777777" w:rsidR="00684690" w:rsidRDefault="00684690">
    <w:pPr>
      <w:pStyle w:val="Header"/>
      <w:rPr>
        <w:b/>
      </w:rPr>
    </w:pPr>
    <w:r>
      <w:rPr>
        <w:b/>
      </w:rPr>
      <w:t xml:space="preserve">DRAFT </w:t>
    </w:r>
    <w:r>
      <w:rPr>
        <w:b/>
      </w:rPr>
      <w:tab/>
    </w:r>
  </w:p>
  <w:p w14:paraId="691A7CE2" w14:textId="77777777" w:rsidR="00684690" w:rsidRDefault="00684690">
    <w:pPr>
      <w:pStyle w:val="Header"/>
      <w:rPr>
        <w:b/>
      </w:rPr>
    </w:pPr>
    <w:r>
      <w:rPr>
        <w:b/>
      </w:rPr>
      <w:t>ATTORNEY WORK PRODUCT</w:t>
    </w:r>
    <w:r>
      <w:rPr>
        <w:b/>
      </w:rPr>
      <w:tab/>
    </w:r>
  </w:p>
  <w:p w14:paraId="3835D480" w14:textId="77777777" w:rsidR="00684690" w:rsidRDefault="00684690">
    <w:pPr>
      <w:pStyle w:val="Header"/>
      <w:rPr>
        <w:b/>
      </w:rPr>
    </w:pPr>
    <w:r>
      <w:rPr>
        <w:b/>
      </w:rPr>
      <w:t>CONFIDENTIAL AND PRIVILEGED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40298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B1623"/>
    <w:multiLevelType w:val="hybridMultilevel"/>
    <w:tmpl w:val="D75091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4C72EA"/>
    <w:multiLevelType w:val="hybridMultilevel"/>
    <w:tmpl w:val="B9323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962E20"/>
    <w:multiLevelType w:val="hybridMultilevel"/>
    <w:tmpl w:val="9650238A"/>
    <w:lvl w:ilvl="0" w:tplc="DC2AEC0E">
      <w:start w:val="1"/>
      <w:numFmt w:val="bullet"/>
      <w:lvlText w:val=""/>
      <w:lvlJc w:val="left"/>
      <w:pPr>
        <w:ind w:left="1444" w:hanging="360"/>
      </w:pPr>
      <w:rPr>
        <w:rFonts w:ascii="Symbol" w:hAnsi="Symbol" w:hint="default"/>
      </w:rPr>
    </w:lvl>
    <w:lvl w:ilvl="1" w:tplc="5DC6F130" w:tentative="1">
      <w:start w:val="1"/>
      <w:numFmt w:val="bullet"/>
      <w:lvlText w:val="o"/>
      <w:lvlJc w:val="left"/>
      <w:pPr>
        <w:ind w:left="2164" w:hanging="360"/>
      </w:pPr>
      <w:rPr>
        <w:rFonts w:ascii="Courier New" w:hAnsi="Courier New" w:cs="Courier New" w:hint="default"/>
      </w:rPr>
    </w:lvl>
    <w:lvl w:ilvl="2" w:tplc="4434D25A" w:tentative="1">
      <w:start w:val="1"/>
      <w:numFmt w:val="bullet"/>
      <w:lvlText w:val=""/>
      <w:lvlJc w:val="left"/>
      <w:pPr>
        <w:ind w:left="2884" w:hanging="360"/>
      </w:pPr>
      <w:rPr>
        <w:rFonts w:ascii="Wingdings" w:hAnsi="Wingdings" w:hint="default"/>
      </w:rPr>
    </w:lvl>
    <w:lvl w:ilvl="3" w:tplc="77D23A52" w:tentative="1">
      <w:start w:val="1"/>
      <w:numFmt w:val="bullet"/>
      <w:lvlText w:val=""/>
      <w:lvlJc w:val="left"/>
      <w:pPr>
        <w:ind w:left="3604" w:hanging="360"/>
      </w:pPr>
      <w:rPr>
        <w:rFonts w:ascii="Symbol" w:hAnsi="Symbol" w:hint="default"/>
      </w:rPr>
    </w:lvl>
    <w:lvl w:ilvl="4" w:tplc="C53634DC" w:tentative="1">
      <w:start w:val="1"/>
      <w:numFmt w:val="bullet"/>
      <w:lvlText w:val="o"/>
      <w:lvlJc w:val="left"/>
      <w:pPr>
        <w:ind w:left="4324" w:hanging="360"/>
      </w:pPr>
      <w:rPr>
        <w:rFonts w:ascii="Courier New" w:hAnsi="Courier New" w:cs="Courier New" w:hint="default"/>
      </w:rPr>
    </w:lvl>
    <w:lvl w:ilvl="5" w:tplc="375E9000" w:tentative="1">
      <w:start w:val="1"/>
      <w:numFmt w:val="bullet"/>
      <w:lvlText w:val=""/>
      <w:lvlJc w:val="left"/>
      <w:pPr>
        <w:ind w:left="5044" w:hanging="360"/>
      </w:pPr>
      <w:rPr>
        <w:rFonts w:ascii="Wingdings" w:hAnsi="Wingdings" w:hint="default"/>
      </w:rPr>
    </w:lvl>
    <w:lvl w:ilvl="6" w:tplc="ED2C5FF8" w:tentative="1">
      <w:start w:val="1"/>
      <w:numFmt w:val="bullet"/>
      <w:lvlText w:val=""/>
      <w:lvlJc w:val="left"/>
      <w:pPr>
        <w:ind w:left="5764" w:hanging="360"/>
      </w:pPr>
      <w:rPr>
        <w:rFonts w:ascii="Symbol" w:hAnsi="Symbol" w:hint="default"/>
      </w:rPr>
    </w:lvl>
    <w:lvl w:ilvl="7" w:tplc="403229A0" w:tentative="1">
      <w:start w:val="1"/>
      <w:numFmt w:val="bullet"/>
      <w:lvlText w:val="o"/>
      <w:lvlJc w:val="left"/>
      <w:pPr>
        <w:ind w:left="6484" w:hanging="360"/>
      </w:pPr>
      <w:rPr>
        <w:rFonts w:ascii="Courier New" w:hAnsi="Courier New" w:cs="Courier New" w:hint="default"/>
      </w:rPr>
    </w:lvl>
    <w:lvl w:ilvl="8" w:tplc="21D4174A" w:tentative="1">
      <w:start w:val="1"/>
      <w:numFmt w:val="bullet"/>
      <w:lvlText w:val=""/>
      <w:lvlJc w:val="left"/>
      <w:pPr>
        <w:ind w:left="7204" w:hanging="360"/>
      </w:pPr>
      <w:rPr>
        <w:rFonts w:ascii="Wingdings" w:hAnsi="Wingdings" w:hint="default"/>
      </w:rPr>
    </w:lvl>
  </w:abstractNum>
  <w:abstractNum w:abstractNumId="4" w15:restartNumberingAfterBreak="0">
    <w:nsid w:val="20E64F82"/>
    <w:multiLevelType w:val="hybridMultilevel"/>
    <w:tmpl w:val="0986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613B2"/>
    <w:multiLevelType w:val="hybridMultilevel"/>
    <w:tmpl w:val="8CB43BF2"/>
    <w:lvl w:ilvl="0" w:tplc="C4DEF3F4">
      <w:start w:val="1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B33BE"/>
    <w:multiLevelType w:val="hybridMultilevel"/>
    <w:tmpl w:val="7A9E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5274F"/>
    <w:multiLevelType w:val="hybridMultilevel"/>
    <w:tmpl w:val="89447978"/>
    <w:lvl w:ilvl="0" w:tplc="C4DEF3F4">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27440"/>
    <w:multiLevelType w:val="singleLevel"/>
    <w:tmpl w:val="83BE81FA"/>
    <w:lvl w:ilvl="0">
      <w:start w:val="17"/>
      <w:numFmt w:val="upperLetter"/>
      <w:pStyle w:val="TestimonyQuestion"/>
      <w:lvlText w:val="%1."/>
      <w:lvlJc w:val="left"/>
      <w:pPr>
        <w:tabs>
          <w:tab w:val="num" w:pos="720"/>
        </w:tabs>
        <w:ind w:left="720" w:hanging="720"/>
      </w:pPr>
      <w:rPr>
        <w:rFonts w:hint="default"/>
      </w:rPr>
    </w:lvl>
  </w:abstractNum>
  <w:abstractNum w:abstractNumId="9" w15:restartNumberingAfterBreak="0">
    <w:nsid w:val="311E7AB7"/>
    <w:multiLevelType w:val="hybridMultilevel"/>
    <w:tmpl w:val="4484D356"/>
    <w:lvl w:ilvl="0" w:tplc="7E969F26">
      <w:start w:val="1"/>
      <w:numFmt w:val="bullet"/>
      <w:lvlText w:val=""/>
      <w:lvlJc w:val="left"/>
      <w:pPr>
        <w:ind w:left="1440" w:hanging="360"/>
      </w:pPr>
      <w:rPr>
        <w:rFonts w:ascii="Symbol" w:hAnsi="Symbol" w:hint="default"/>
      </w:rPr>
    </w:lvl>
    <w:lvl w:ilvl="1" w:tplc="11229BCA">
      <w:start w:val="1"/>
      <w:numFmt w:val="bullet"/>
      <w:lvlText w:val="o"/>
      <w:lvlJc w:val="left"/>
      <w:pPr>
        <w:ind w:left="2160" w:hanging="360"/>
      </w:pPr>
      <w:rPr>
        <w:rFonts w:ascii="Courier New" w:hAnsi="Courier New" w:cs="Courier New" w:hint="default"/>
      </w:rPr>
    </w:lvl>
    <w:lvl w:ilvl="2" w:tplc="F9689A12" w:tentative="1">
      <w:start w:val="1"/>
      <w:numFmt w:val="bullet"/>
      <w:lvlText w:val=""/>
      <w:lvlJc w:val="left"/>
      <w:pPr>
        <w:ind w:left="2880" w:hanging="360"/>
      </w:pPr>
      <w:rPr>
        <w:rFonts w:ascii="Wingdings" w:hAnsi="Wingdings" w:hint="default"/>
      </w:rPr>
    </w:lvl>
    <w:lvl w:ilvl="3" w:tplc="46521296" w:tentative="1">
      <w:start w:val="1"/>
      <w:numFmt w:val="bullet"/>
      <w:lvlText w:val=""/>
      <w:lvlJc w:val="left"/>
      <w:pPr>
        <w:ind w:left="3600" w:hanging="360"/>
      </w:pPr>
      <w:rPr>
        <w:rFonts w:ascii="Symbol" w:hAnsi="Symbol" w:hint="default"/>
      </w:rPr>
    </w:lvl>
    <w:lvl w:ilvl="4" w:tplc="45A2C6AE" w:tentative="1">
      <w:start w:val="1"/>
      <w:numFmt w:val="bullet"/>
      <w:lvlText w:val="o"/>
      <w:lvlJc w:val="left"/>
      <w:pPr>
        <w:ind w:left="4320" w:hanging="360"/>
      </w:pPr>
      <w:rPr>
        <w:rFonts w:ascii="Courier New" w:hAnsi="Courier New" w:cs="Courier New" w:hint="default"/>
      </w:rPr>
    </w:lvl>
    <w:lvl w:ilvl="5" w:tplc="84701D0C" w:tentative="1">
      <w:start w:val="1"/>
      <w:numFmt w:val="bullet"/>
      <w:lvlText w:val=""/>
      <w:lvlJc w:val="left"/>
      <w:pPr>
        <w:ind w:left="5040" w:hanging="360"/>
      </w:pPr>
      <w:rPr>
        <w:rFonts w:ascii="Wingdings" w:hAnsi="Wingdings" w:hint="default"/>
      </w:rPr>
    </w:lvl>
    <w:lvl w:ilvl="6" w:tplc="CF76687A" w:tentative="1">
      <w:start w:val="1"/>
      <w:numFmt w:val="bullet"/>
      <w:lvlText w:val=""/>
      <w:lvlJc w:val="left"/>
      <w:pPr>
        <w:ind w:left="5760" w:hanging="360"/>
      </w:pPr>
      <w:rPr>
        <w:rFonts w:ascii="Symbol" w:hAnsi="Symbol" w:hint="default"/>
      </w:rPr>
    </w:lvl>
    <w:lvl w:ilvl="7" w:tplc="7F1484FA" w:tentative="1">
      <w:start w:val="1"/>
      <w:numFmt w:val="bullet"/>
      <w:lvlText w:val="o"/>
      <w:lvlJc w:val="left"/>
      <w:pPr>
        <w:ind w:left="6480" w:hanging="360"/>
      </w:pPr>
      <w:rPr>
        <w:rFonts w:ascii="Courier New" w:hAnsi="Courier New" w:cs="Courier New" w:hint="default"/>
      </w:rPr>
    </w:lvl>
    <w:lvl w:ilvl="8" w:tplc="0F7E9008" w:tentative="1">
      <w:start w:val="1"/>
      <w:numFmt w:val="bullet"/>
      <w:lvlText w:val=""/>
      <w:lvlJc w:val="left"/>
      <w:pPr>
        <w:ind w:left="7200" w:hanging="360"/>
      </w:pPr>
      <w:rPr>
        <w:rFonts w:ascii="Wingdings" w:hAnsi="Wingdings" w:hint="default"/>
      </w:rPr>
    </w:lvl>
  </w:abstractNum>
  <w:abstractNum w:abstractNumId="10" w15:restartNumberingAfterBreak="0">
    <w:nsid w:val="332849F4"/>
    <w:multiLevelType w:val="hybridMultilevel"/>
    <w:tmpl w:val="94724442"/>
    <w:lvl w:ilvl="0" w:tplc="44722F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5604F"/>
    <w:multiLevelType w:val="hybridMultilevel"/>
    <w:tmpl w:val="E17E27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DC5967"/>
    <w:multiLevelType w:val="hybridMultilevel"/>
    <w:tmpl w:val="EB248C2A"/>
    <w:lvl w:ilvl="0" w:tplc="C23E67E0">
      <w:start w:val="1"/>
      <w:numFmt w:val="bullet"/>
      <w:lvlText w:val=""/>
      <w:lvlJc w:val="left"/>
      <w:pPr>
        <w:ind w:left="1440" w:hanging="360"/>
      </w:pPr>
      <w:rPr>
        <w:rFonts w:ascii="Symbol" w:hAnsi="Symbol" w:hint="default"/>
      </w:rPr>
    </w:lvl>
    <w:lvl w:ilvl="1" w:tplc="743C8CD6" w:tentative="1">
      <w:start w:val="1"/>
      <w:numFmt w:val="bullet"/>
      <w:lvlText w:val="o"/>
      <w:lvlJc w:val="left"/>
      <w:pPr>
        <w:ind w:left="2160" w:hanging="360"/>
      </w:pPr>
      <w:rPr>
        <w:rFonts w:ascii="Courier New" w:hAnsi="Courier New" w:hint="default"/>
      </w:rPr>
    </w:lvl>
    <w:lvl w:ilvl="2" w:tplc="5B08AA08" w:tentative="1">
      <w:start w:val="1"/>
      <w:numFmt w:val="bullet"/>
      <w:lvlText w:val=""/>
      <w:lvlJc w:val="left"/>
      <w:pPr>
        <w:ind w:left="2880" w:hanging="360"/>
      </w:pPr>
      <w:rPr>
        <w:rFonts w:ascii="Wingdings" w:hAnsi="Wingdings" w:hint="default"/>
      </w:rPr>
    </w:lvl>
    <w:lvl w:ilvl="3" w:tplc="68E22C98" w:tentative="1">
      <w:start w:val="1"/>
      <w:numFmt w:val="bullet"/>
      <w:lvlText w:val=""/>
      <w:lvlJc w:val="left"/>
      <w:pPr>
        <w:ind w:left="3600" w:hanging="360"/>
      </w:pPr>
      <w:rPr>
        <w:rFonts w:ascii="Symbol" w:hAnsi="Symbol" w:hint="default"/>
      </w:rPr>
    </w:lvl>
    <w:lvl w:ilvl="4" w:tplc="19A89FEA" w:tentative="1">
      <w:start w:val="1"/>
      <w:numFmt w:val="bullet"/>
      <w:lvlText w:val="o"/>
      <w:lvlJc w:val="left"/>
      <w:pPr>
        <w:ind w:left="4320" w:hanging="360"/>
      </w:pPr>
      <w:rPr>
        <w:rFonts w:ascii="Courier New" w:hAnsi="Courier New" w:hint="default"/>
      </w:rPr>
    </w:lvl>
    <w:lvl w:ilvl="5" w:tplc="5C72FA0E" w:tentative="1">
      <w:start w:val="1"/>
      <w:numFmt w:val="bullet"/>
      <w:lvlText w:val=""/>
      <w:lvlJc w:val="left"/>
      <w:pPr>
        <w:ind w:left="5040" w:hanging="360"/>
      </w:pPr>
      <w:rPr>
        <w:rFonts w:ascii="Wingdings" w:hAnsi="Wingdings" w:hint="default"/>
      </w:rPr>
    </w:lvl>
    <w:lvl w:ilvl="6" w:tplc="AF36198E" w:tentative="1">
      <w:start w:val="1"/>
      <w:numFmt w:val="bullet"/>
      <w:lvlText w:val=""/>
      <w:lvlJc w:val="left"/>
      <w:pPr>
        <w:ind w:left="5760" w:hanging="360"/>
      </w:pPr>
      <w:rPr>
        <w:rFonts w:ascii="Symbol" w:hAnsi="Symbol" w:hint="default"/>
      </w:rPr>
    </w:lvl>
    <w:lvl w:ilvl="7" w:tplc="A33CADFE" w:tentative="1">
      <w:start w:val="1"/>
      <w:numFmt w:val="bullet"/>
      <w:lvlText w:val="o"/>
      <w:lvlJc w:val="left"/>
      <w:pPr>
        <w:ind w:left="6480" w:hanging="360"/>
      </w:pPr>
      <w:rPr>
        <w:rFonts w:ascii="Courier New" w:hAnsi="Courier New" w:hint="default"/>
      </w:rPr>
    </w:lvl>
    <w:lvl w:ilvl="8" w:tplc="84AA15E6" w:tentative="1">
      <w:start w:val="1"/>
      <w:numFmt w:val="bullet"/>
      <w:lvlText w:val=""/>
      <w:lvlJc w:val="left"/>
      <w:pPr>
        <w:ind w:left="7200" w:hanging="360"/>
      </w:pPr>
      <w:rPr>
        <w:rFonts w:ascii="Wingdings" w:hAnsi="Wingdings" w:hint="default"/>
      </w:rPr>
    </w:lvl>
  </w:abstractNum>
  <w:abstractNum w:abstractNumId="13" w15:restartNumberingAfterBreak="0">
    <w:nsid w:val="390123DA"/>
    <w:multiLevelType w:val="hybridMultilevel"/>
    <w:tmpl w:val="4A60B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BF2650"/>
    <w:multiLevelType w:val="multilevel"/>
    <w:tmpl w:val="18BAFE18"/>
    <w:lvl w:ilvl="0">
      <w:start w:val="1"/>
      <w:numFmt w:val="upperRoman"/>
      <w:pStyle w:val="StandardL1"/>
      <w:suff w:val="nothing"/>
      <w:lvlText w:val="%1."/>
      <w:lvlJc w:val="left"/>
      <w:pPr>
        <w:ind w:left="0" w:firstLine="0"/>
      </w:pPr>
      <w:rPr>
        <w:rFonts w:hint="default"/>
        <w:b/>
        <w:i w:val="0"/>
        <w:caps/>
        <w:smallCaps w:val="0"/>
        <w:u w:val="none"/>
      </w:rPr>
    </w:lvl>
    <w:lvl w:ilvl="1">
      <w:start w:val="1"/>
      <w:numFmt w:val="decimal"/>
      <w:lvlRestart w:val="0"/>
      <w:pStyle w:val="StandardL2"/>
      <w:lvlText w:val="Q."/>
      <w:lvlJc w:val="left"/>
      <w:pPr>
        <w:tabs>
          <w:tab w:val="num" w:pos="720"/>
        </w:tabs>
        <w:ind w:left="720" w:hanging="720"/>
      </w:pPr>
      <w:rPr>
        <w:b/>
        <w:i w:val="0"/>
        <w:caps/>
        <w:smallCaps w:val="0"/>
        <w:u w:val="none"/>
      </w:rPr>
    </w:lvl>
    <w:lvl w:ilvl="2">
      <w:start w:val="1"/>
      <w:numFmt w:val="decimal"/>
      <w:lvlRestart w:val="0"/>
      <w:pStyle w:val="StandardL3"/>
      <w:lvlText w:val="A."/>
      <w:lvlJc w:val="left"/>
      <w:pPr>
        <w:tabs>
          <w:tab w:val="num" w:pos="2160"/>
        </w:tabs>
        <w:ind w:left="720" w:hanging="720"/>
      </w:pPr>
      <w:rPr>
        <w:b w:val="0"/>
        <w:i w:val="0"/>
        <w:caps w:val="0"/>
        <w:smallCaps w:val="0"/>
        <w:u w:val="none"/>
      </w:rPr>
    </w:lvl>
    <w:lvl w:ilvl="3">
      <w:start w:val="1"/>
      <w:numFmt w:val="bullet"/>
      <w:lvlText w:val="o"/>
      <w:lvlJc w:val="left"/>
      <w:pPr>
        <w:tabs>
          <w:tab w:val="num" w:pos="1620"/>
        </w:tabs>
        <w:ind w:left="-1260" w:firstLine="2160"/>
      </w:pPr>
      <w:rPr>
        <w:rFonts w:ascii="Courier New" w:hAnsi="Courier New" w:cs="Courier New" w:hint="default"/>
        <w:b w:val="0"/>
        <w:i w:val="0"/>
        <w:caps w:val="0"/>
        <w:smallCaps w:val="0"/>
        <w:u w:val="none"/>
      </w:rPr>
    </w:lvl>
    <w:lvl w:ilvl="4">
      <w:start w:val="1"/>
      <w:numFmt w:val="lowerLetter"/>
      <w:lvlText w:val="%5."/>
      <w:lvlJc w:val="left"/>
      <w:pPr>
        <w:tabs>
          <w:tab w:val="num" w:pos="3600"/>
        </w:tabs>
        <w:ind w:left="0" w:firstLine="2880"/>
      </w:pPr>
      <w:rPr>
        <w:rFonts w:hint="default"/>
        <w:b w:val="0"/>
        <w:i w:val="0"/>
        <w:caps w:val="0"/>
        <w:smallCaps w:val="0"/>
        <w:u w:val="none"/>
      </w:rPr>
    </w:lvl>
    <w:lvl w:ilvl="5">
      <w:start w:val="1"/>
      <w:numFmt w:val="lowerRoman"/>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Letter"/>
      <w:lvlText w:val="%8)"/>
      <w:lvlJc w:val="left"/>
      <w:pPr>
        <w:tabs>
          <w:tab w:val="num" w:pos="5760"/>
        </w:tabs>
        <w:ind w:left="0" w:firstLine="5040"/>
      </w:pPr>
      <w:rPr>
        <w:rFonts w:hint="default"/>
        <w:b w:val="0"/>
        <w:i w:val="0"/>
        <w:caps w:val="0"/>
        <w:smallCaps w:val="0"/>
        <w:u w:val="none"/>
      </w:rPr>
    </w:lvl>
    <w:lvl w:ilvl="8">
      <w:start w:val="1"/>
      <w:numFmt w:val="lowerRoman"/>
      <w:lvlText w:val="%9)"/>
      <w:lvlJc w:val="left"/>
      <w:pPr>
        <w:tabs>
          <w:tab w:val="num" w:pos="6480"/>
        </w:tabs>
        <w:ind w:left="0" w:firstLine="5760"/>
      </w:pPr>
      <w:rPr>
        <w:rFonts w:hint="default"/>
        <w:b w:val="0"/>
        <w:i w:val="0"/>
        <w:caps w:val="0"/>
        <w:smallCaps w:val="0"/>
        <w:u w:val="none"/>
      </w:rPr>
    </w:lvl>
  </w:abstractNum>
  <w:abstractNum w:abstractNumId="15" w15:restartNumberingAfterBreak="0">
    <w:nsid w:val="3D2336DC"/>
    <w:multiLevelType w:val="hybridMultilevel"/>
    <w:tmpl w:val="BB02E3CE"/>
    <w:lvl w:ilvl="0" w:tplc="C4DEF3F4">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3673A"/>
    <w:multiLevelType w:val="hybridMultilevel"/>
    <w:tmpl w:val="BAD2AC76"/>
    <w:lvl w:ilvl="0" w:tplc="C4DEF3F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4523"/>
    <w:multiLevelType w:val="hybridMultilevel"/>
    <w:tmpl w:val="4B3CC22E"/>
    <w:lvl w:ilvl="0" w:tplc="F65CCCCA">
      <w:start w:val="1"/>
      <w:numFmt w:val="bullet"/>
      <w:lvlText w:val=""/>
      <w:lvlJc w:val="left"/>
      <w:pPr>
        <w:ind w:left="1440" w:hanging="360"/>
      </w:pPr>
      <w:rPr>
        <w:rFonts w:ascii="Symbol" w:hAnsi="Symbol" w:hint="default"/>
      </w:rPr>
    </w:lvl>
    <w:lvl w:ilvl="1" w:tplc="F3164030" w:tentative="1">
      <w:start w:val="1"/>
      <w:numFmt w:val="bullet"/>
      <w:lvlText w:val="o"/>
      <w:lvlJc w:val="left"/>
      <w:pPr>
        <w:ind w:left="2160" w:hanging="360"/>
      </w:pPr>
      <w:rPr>
        <w:rFonts w:ascii="Courier New" w:hAnsi="Courier New" w:cs="Courier New" w:hint="default"/>
      </w:rPr>
    </w:lvl>
    <w:lvl w:ilvl="2" w:tplc="FEE2DCB0" w:tentative="1">
      <w:start w:val="1"/>
      <w:numFmt w:val="bullet"/>
      <w:lvlText w:val=""/>
      <w:lvlJc w:val="left"/>
      <w:pPr>
        <w:ind w:left="2880" w:hanging="360"/>
      </w:pPr>
      <w:rPr>
        <w:rFonts w:ascii="Wingdings" w:hAnsi="Wingdings" w:hint="default"/>
      </w:rPr>
    </w:lvl>
    <w:lvl w:ilvl="3" w:tplc="D294EF4A" w:tentative="1">
      <w:start w:val="1"/>
      <w:numFmt w:val="bullet"/>
      <w:lvlText w:val=""/>
      <w:lvlJc w:val="left"/>
      <w:pPr>
        <w:ind w:left="3600" w:hanging="360"/>
      </w:pPr>
      <w:rPr>
        <w:rFonts w:ascii="Symbol" w:hAnsi="Symbol" w:hint="default"/>
      </w:rPr>
    </w:lvl>
    <w:lvl w:ilvl="4" w:tplc="87FC4124" w:tentative="1">
      <w:start w:val="1"/>
      <w:numFmt w:val="bullet"/>
      <w:lvlText w:val="o"/>
      <w:lvlJc w:val="left"/>
      <w:pPr>
        <w:ind w:left="4320" w:hanging="360"/>
      </w:pPr>
      <w:rPr>
        <w:rFonts w:ascii="Courier New" w:hAnsi="Courier New" w:cs="Courier New" w:hint="default"/>
      </w:rPr>
    </w:lvl>
    <w:lvl w:ilvl="5" w:tplc="590223FA" w:tentative="1">
      <w:start w:val="1"/>
      <w:numFmt w:val="bullet"/>
      <w:lvlText w:val=""/>
      <w:lvlJc w:val="left"/>
      <w:pPr>
        <w:ind w:left="5040" w:hanging="360"/>
      </w:pPr>
      <w:rPr>
        <w:rFonts w:ascii="Wingdings" w:hAnsi="Wingdings" w:hint="default"/>
      </w:rPr>
    </w:lvl>
    <w:lvl w:ilvl="6" w:tplc="8208E8C0" w:tentative="1">
      <w:start w:val="1"/>
      <w:numFmt w:val="bullet"/>
      <w:lvlText w:val=""/>
      <w:lvlJc w:val="left"/>
      <w:pPr>
        <w:ind w:left="5760" w:hanging="360"/>
      </w:pPr>
      <w:rPr>
        <w:rFonts w:ascii="Symbol" w:hAnsi="Symbol" w:hint="default"/>
      </w:rPr>
    </w:lvl>
    <w:lvl w:ilvl="7" w:tplc="8B6C3452" w:tentative="1">
      <w:start w:val="1"/>
      <w:numFmt w:val="bullet"/>
      <w:lvlText w:val="o"/>
      <w:lvlJc w:val="left"/>
      <w:pPr>
        <w:ind w:left="6480" w:hanging="360"/>
      </w:pPr>
      <w:rPr>
        <w:rFonts w:ascii="Courier New" w:hAnsi="Courier New" w:cs="Courier New" w:hint="default"/>
      </w:rPr>
    </w:lvl>
    <w:lvl w:ilvl="8" w:tplc="919CAAE6" w:tentative="1">
      <w:start w:val="1"/>
      <w:numFmt w:val="bullet"/>
      <w:lvlText w:val=""/>
      <w:lvlJc w:val="left"/>
      <w:pPr>
        <w:ind w:left="7200" w:hanging="360"/>
      </w:pPr>
      <w:rPr>
        <w:rFonts w:ascii="Wingdings" w:hAnsi="Wingdings" w:hint="default"/>
      </w:rPr>
    </w:lvl>
  </w:abstractNum>
  <w:abstractNum w:abstractNumId="18" w15:restartNumberingAfterBreak="0">
    <w:nsid w:val="4C1D4973"/>
    <w:multiLevelType w:val="hybridMultilevel"/>
    <w:tmpl w:val="519AD342"/>
    <w:lvl w:ilvl="0" w:tplc="D36AFF70">
      <w:start w:val="1"/>
      <w:numFmt w:val="decimal"/>
      <w:lvlText w:val="%1."/>
      <w:lvlJc w:val="left"/>
      <w:pPr>
        <w:tabs>
          <w:tab w:val="num" w:pos="1440"/>
        </w:tabs>
        <w:ind w:left="1440" w:hanging="360"/>
      </w:pPr>
      <w:rPr>
        <w:rFonts w:cs="Times New Roman"/>
      </w:rPr>
    </w:lvl>
    <w:lvl w:ilvl="1" w:tplc="29167F12" w:tentative="1">
      <w:start w:val="1"/>
      <w:numFmt w:val="lowerLetter"/>
      <w:lvlText w:val="%2."/>
      <w:lvlJc w:val="left"/>
      <w:pPr>
        <w:tabs>
          <w:tab w:val="num" w:pos="2160"/>
        </w:tabs>
        <w:ind w:left="2160" w:hanging="360"/>
      </w:pPr>
      <w:rPr>
        <w:rFonts w:cs="Times New Roman"/>
      </w:rPr>
    </w:lvl>
    <w:lvl w:ilvl="2" w:tplc="34D4FA78" w:tentative="1">
      <w:start w:val="1"/>
      <w:numFmt w:val="lowerRoman"/>
      <w:lvlText w:val="%3."/>
      <w:lvlJc w:val="right"/>
      <w:pPr>
        <w:tabs>
          <w:tab w:val="num" w:pos="2880"/>
        </w:tabs>
        <w:ind w:left="2880" w:hanging="180"/>
      </w:pPr>
      <w:rPr>
        <w:rFonts w:cs="Times New Roman"/>
      </w:rPr>
    </w:lvl>
    <w:lvl w:ilvl="3" w:tplc="976213A0" w:tentative="1">
      <w:start w:val="1"/>
      <w:numFmt w:val="decimal"/>
      <w:lvlText w:val="%4."/>
      <w:lvlJc w:val="left"/>
      <w:pPr>
        <w:tabs>
          <w:tab w:val="num" w:pos="3600"/>
        </w:tabs>
        <w:ind w:left="3600" w:hanging="360"/>
      </w:pPr>
      <w:rPr>
        <w:rFonts w:cs="Times New Roman"/>
      </w:rPr>
    </w:lvl>
    <w:lvl w:ilvl="4" w:tplc="49ACBC2C" w:tentative="1">
      <w:start w:val="1"/>
      <w:numFmt w:val="lowerLetter"/>
      <w:lvlText w:val="%5."/>
      <w:lvlJc w:val="left"/>
      <w:pPr>
        <w:tabs>
          <w:tab w:val="num" w:pos="4320"/>
        </w:tabs>
        <w:ind w:left="4320" w:hanging="360"/>
      </w:pPr>
      <w:rPr>
        <w:rFonts w:cs="Times New Roman"/>
      </w:rPr>
    </w:lvl>
    <w:lvl w:ilvl="5" w:tplc="73B2FEC4" w:tentative="1">
      <w:start w:val="1"/>
      <w:numFmt w:val="lowerRoman"/>
      <w:lvlText w:val="%6."/>
      <w:lvlJc w:val="right"/>
      <w:pPr>
        <w:tabs>
          <w:tab w:val="num" w:pos="5040"/>
        </w:tabs>
        <w:ind w:left="5040" w:hanging="180"/>
      </w:pPr>
      <w:rPr>
        <w:rFonts w:cs="Times New Roman"/>
      </w:rPr>
    </w:lvl>
    <w:lvl w:ilvl="6" w:tplc="6DC8139C" w:tentative="1">
      <w:start w:val="1"/>
      <w:numFmt w:val="decimal"/>
      <w:lvlText w:val="%7."/>
      <w:lvlJc w:val="left"/>
      <w:pPr>
        <w:tabs>
          <w:tab w:val="num" w:pos="5760"/>
        </w:tabs>
        <w:ind w:left="5760" w:hanging="360"/>
      </w:pPr>
      <w:rPr>
        <w:rFonts w:cs="Times New Roman"/>
      </w:rPr>
    </w:lvl>
    <w:lvl w:ilvl="7" w:tplc="984E8444" w:tentative="1">
      <w:start w:val="1"/>
      <w:numFmt w:val="lowerLetter"/>
      <w:lvlText w:val="%8."/>
      <w:lvlJc w:val="left"/>
      <w:pPr>
        <w:tabs>
          <w:tab w:val="num" w:pos="6480"/>
        </w:tabs>
        <w:ind w:left="6480" w:hanging="360"/>
      </w:pPr>
      <w:rPr>
        <w:rFonts w:cs="Times New Roman"/>
      </w:rPr>
    </w:lvl>
    <w:lvl w:ilvl="8" w:tplc="CB5881C2" w:tentative="1">
      <w:start w:val="1"/>
      <w:numFmt w:val="lowerRoman"/>
      <w:lvlText w:val="%9."/>
      <w:lvlJc w:val="right"/>
      <w:pPr>
        <w:tabs>
          <w:tab w:val="num" w:pos="7200"/>
        </w:tabs>
        <w:ind w:left="7200" w:hanging="180"/>
      </w:pPr>
      <w:rPr>
        <w:rFonts w:cs="Times New Roman"/>
      </w:rPr>
    </w:lvl>
  </w:abstractNum>
  <w:abstractNum w:abstractNumId="19" w15:restartNumberingAfterBreak="0">
    <w:nsid w:val="559626F6"/>
    <w:multiLevelType w:val="hybridMultilevel"/>
    <w:tmpl w:val="B406CE7A"/>
    <w:lvl w:ilvl="0" w:tplc="D1345EDE">
      <w:start w:val="1"/>
      <w:numFmt w:val="decimal"/>
      <w:lvlText w:val="%1."/>
      <w:lvlJc w:val="left"/>
      <w:pPr>
        <w:tabs>
          <w:tab w:val="num" w:pos="1440"/>
        </w:tabs>
        <w:ind w:left="1440" w:hanging="360"/>
      </w:pPr>
      <w:rPr>
        <w:rFonts w:cs="Times New Roman"/>
      </w:rPr>
    </w:lvl>
    <w:lvl w:ilvl="1" w:tplc="E7DC6C18" w:tentative="1">
      <w:start w:val="1"/>
      <w:numFmt w:val="lowerLetter"/>
      <w:lvlText w:val="%2."/>
      <w:lvlJc w:val="left"/>
      <w:pPr>
        <w:tabs>
          <w:tab w:val="num" w:pos="2160"/>
        </w:tabs>
        <w:ind w:left="2160" w:hanging="360"/>
      </w:pPr>
      <w:rPr>
        <w:rFonts w:cs="Times New Roman"/>
      </w:rPr>
    </w:lvl>
    <w:lvl w:ilvl="2" w:tplc="39980314" w:tentative="1">
      <w:start w:val="1"/>
      <w:numFmt w:val="lowerRoman"/>
      <w:lvlText w:val="%3."/>
      <w:lvlJc w:val="right"/>
      <w:pPr>
        <w:tabs>
          <w:tab w:val="num" w:pos="2880"/>
        </w:tabs>
        <w:ind w:left="2880" w:hanging="180"/>
      </w:pPr>
      <w:rPr>
        <w:rFonts w:cs="Times New Roman"/>
      </w:rPr>
    </w:lvl>
    <w:lvl w:ilvl="3" w:tplc="86D633E6" w:tentative="1">
      <w:start w:val="1"/>
      <w:numFmt w:val="decimal"/>
      <w:lvlText w:val="%4."/>
      <w:lvlJc w:val="left"/>
      <w:pPr>
        <w:tabs>
          <w:tab w:val="num" w:pos="3600"/>
        </w:tabs>
        <w:ind w:left="3600" w:hanging="360"/>
      </w:pPr>
      <w:rPr>
        <w:rFonts w:cs="Times New Roman"/>
      </w:rPr>
    </w:lvl>
    <w:lvl w:ilvl="4" w:tplc="8A6A890E" w:tentative="1">
      <w:start w:val="1"/>
      <w:numFmt w:val="lowerLetter"/>
      <w:lvlText w:val="%5."/>
      <w:lvlJc w:val="left"/>
      <w:pPr>
        <w:tabs>
          <w:tab w:val="num" w:pos="4320"/>
        </w:tabs>
        <w:ind w:left="4320" w:hanging="360"/>
      </w:pPr>
      <w:rPr>
        <w:rFonts w:cs="Times New Roman"/>
      </w:rPr>
    </w:lvl>
    <w:lvl w:ilvl="5" w:tplc="8526A0AE" w:tentative="1">
      <w:start w:val="1"/>
      <w:numFmt w:val="lowerRoman"/>
      <w:lvlText w:val="%6."/>
      <w:lvlJc w:val="right"/>
      <w:pPr>
        <w:tabs>
          <w:tab w:val="num" w:pos="5040"/>
        </w:tabs>
        <w:ind w:left="5040" w:hanging="180"/>
      </w:pPr>
      <w:rPr>
        <w:rFonts w:cs="Times New Roman"/>
      </w:rPr>
    </w:lvl>
    <w:lvl w:ilvl="6" w:tplc="A1DCE056" w:tentative="1">
      <w:start w:val="1"/>
      <w:numFmt w:val="decimal"/>
      <w:lvlText w:val="%7."/>
      <w:lvlJc w:val="left"/>
      <w:pPr>
        <w:tabs>
          <w:tab w:val="num" w:pos="5760"/>
        </w:tabs>
        <w:ind w:left="5760" w:hanging="360"/>
      </w:pPr>
      <w:rPr>
        <w:rFonts w:cs="Times New Roman"/>
      </w:rPr>
    </w:lvl>
    <w:lvl w:ilvl="7" w:tplc="C8B2E1E2" w:tentative="1">
      <w:start w:val="1"/>
      <w:numFmt w:val="lowerLetter"/>
      <w:lvlText w:val="%8."/>
      <w:lvlJc w:val="left"/>
      <w:pPr>
        <w:tabs>
          <w:tab w:val="num" w:pos="6480"/>
        </w:tabs>
        <w:ind w:left="6480" w:hanging="360"/>
      </w:pPr>
      <w:rPr>
        <w:rFonts w:cs="Times New Roman"/>
      </w:rPr>
    </w:lvl>
    <w:lvl w:ilvl="8" w:tplc="5EAEB104" w:tentative="1">
      <w:start w:val="1"/>
      <w:numFmt w:val="lowerRoman"/>
      <w:lvlText w:val="%9."/>
      <w:lvlJc w:val="right"/>
      <w:pPr>
        <w:tabs>
          <w:tab w:val="num" w:pos="7200"/>
        </w:tabs>
        <w:ind w:left="7200" w:hanging="180"/>
      </w:pPr>
      <w:rPr>
        <w:rFonts w:cs="Times New Roman"/>
      </w:rPr>
    </w:lvl>
  </w:abstractNum>
  <w:abstractNum w:abstractNumId="20" w15:restartNumberingAfterBreak="0">
    <w:nsid w:val="55A32413"/>
    <w:multiLevelType w:val="multilevel"/>
    <w:tmpl w:val="869225C2"/>
    <w:lvl w:ilvl="0">
      <w:start w:val="1"/>
      <w:numFmt w:val="none"/>
      <w:pStyle w:val="Answer1"/>
      <w:lvlText w:val="A.%1"/>
      <w:lvlJc w:val="left"/>
      <w:pPr>
        <w:tabs>
          <w:tab w:val="num" w:pos="0"/>
        </w:tabs>
        <w:ind w:left="0" w:firstLine="0"/>
      </w:pPr>
      <w:rPr>
        <w:rFonts w:ascii="Times New Roman Bold" w:hAnsi="Times New Roman Bold" w:cs="Times New Roman"/>
        <w:b w:val="0"/>
        <w:i w:val="0"/>
        <w:caps w:val="0"/>
        <w:strike w:val="0"/>
        <w:dstrike w:val="0"/>
        <w:vanish w:val="0"/>
        <w:webHidden w:val="0"/>
        <w:color w:val="auto"/>
        <w:sz w:val="24"/>
        <w:u w:val="none"/>
        <w:effect w:val="none"/>
        <w:vertAlign w:val="baseline"/>
        <w:specVanish w:val="0"/>
      </w:rPr>
    </w:lvl>
    <w:lvl w:ilvl="1">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abstractNum>
  <w:abstractNum w:abstractNumId="21" w15:restartNumberingAfterBreak="0">
    <w:nsid w:val="6111242B"/>
    <w:multiLevelType w:val="hybridMultilevel"/>
    <w:tmpl w:val="A514810A"/>
    <w:lvl w:ilvl="0" w:tplc="E27C4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36A35"/>
    <w:multiLevelType w:val="multilevel"/>
    <w:tmpl w:val="7D0831C6"/>
    <w:lvl w:ilvl="0">
      <w:start w:val="1"/>
      <w:numFmt w:val="upperRoman"/>
      <w:suff w:val="nothing"/>
      <w:lvlText w:val="%1."/>
      <w:lvlJc w:val="left"/>
      <w:pPr>
        <w:ind w:left="0" w:firstLine="0"/>
      </w:pPr>
      <w:rPr>
        <w:rFonts w:hint="default"/>
        <w:b/>
        <w:i w:val="0"/>
        <w:caps/>
        <w:smallCaps w:val="0"/>
        <w:u w:val="single"/>
      </w:rPr>
    </w:lvl>
    <w:lvl w:ilvl="1">
      <w:start w:val="1"/>
      <w:numFmt w:val="none"/>
      <w:lvlRestart w:val="0"/>
      <w:lvlText w:val="Q."/>
      <w:lvlJc w:val="left"/>
      <w:pPr>
        <w:tabs>
          <w:tab w:val="num" w:pos="720"/>
        </w:tabs>
        <w:ind w:left="720" w:hanging="720"/>
      </w:pPr>
      <w:rPr>
        <w:rFonts w:hint="default"/>
        <w:b/>
        <w:i w:val="0"/>
        <w:caps/>
        <w:smallCaps w:val="0"/>
        <w:u w:val="none"/>
      </w:rPr>
    </w:lvl>
    <w:lvl w:ilvl="2">
      <w:start w:val="1"/>
      <w:numFmt w:val="none"/>
      <w:lvlRestart w:val="0"/>
      <w:lvlText w:val="A."/>
      <w:lvlJc w:val="left"/>
      <w:pPr>
        <w:tabs>
          <w:tab w:val="num" w:pos="2160"/>
        </w:tabs>
        <w:ind w:left="720" w:hanging="720"/>
      </w:pPr>
      <w:rPr>
        <w:rFonts w:hint="default"/>
        <w:b w:val="0"/>
        <w:i w:val="0"/>
        <w:caps w:val="0"/>
        <w:smallCaps w:val="0"/>
        <w:u w:val="none"/>
      </w:rPr>
    </w:lvl>
    <w:lvl w:ilvl="3">
      <w:start w:val="1"/>
      <w:numFmt w:val="decimal"/>
      <w:lvlText w:val="(%4)"/>
      <w:lvlJc w:val="left"/>
      <w:pPr>
        <w:tabs>
          <w:tab w:val="num" w:pos="2880"/>
        </w:tabs>
        <w:ind w:left="0" w:firstLine="2160"/>
      </w:pPr>
      <w:rPr>
        <w:rFonts w:hint="default"/>
        <w:b w:val="0"/>
        <w:i w:val="0"/>
        <w:caps w:val="0"/>
        <w:smallCaps w:val="0"/>
        <w:u w:val="none"/>
      </w:rPr>
    </w:lvl>
    <w:lvl w:ilvl="4">
      <w:start w:val="1"/>
      <w:numFmt w:val="lowerLetter"/>
      <w:lvlText w:val="%5."/>
      <w:lvlJc w:val="left"/>
      <w:pPr>
        <w:tabs>
          <w:tab w:val="num" w:pos="3600"/>
        </w:tabs>
        <w:ind w:left="0" w:firstLine="2880"/>
      </w:pPr>
      <w:rPr>
        <w:rFonts w:hint="default"/>
        <w:b w:val="0"/>
        <w:i w:val="0"/>
        <w:caps w:val="0"/>
        <w:smallCaps w:val="0"/>
        <w:u w:val="none"/>
      </w:rPr>
    </w:lvl>
    <w:lvl w:ilvl="5">
      <w:start w:val="1"/>
      <w:numFmt w:val="lowerRoman"/>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Letter"/>
      <w:lvlText w:val="%8)"/>
      <w:lvlJc w:val="left"/>
      <w:pPr>
        <w:tabs>
          <w:tab w:val="num" w:pos="5760"/>
        </w:tabs>
        <w:ind w:left="0" w:firstLine="5040"/>
      </w:pPr>
      <w:rPr>
        <w:rFonts w:hint="default"/>
        <w:b w:val="0"/>
        <w:i w:val="0"/>
        <w:caps w:val="0"/>
        <w:smallCaps w:val="0"/>
        <w:u w:val="none"/>
      </w:rPr>
    </w:lvl>
    <w:lvl w:ilvl="8">
      <w:start w:val="1"/>
      <w:numFmt w:val="lowerRoman"/>
      <w:lvlText w:val="%9)"/>
      <w:lvlJc w:val="left"/>
      <w:pPr>
        <w:tabs>
          <w:tab w:val="num" w:pos="6480"/>
        </w:tabs>
        <w:ind w:left="0" w:firstLine="5760"/>
      </w:pPr>
      <w:rPr>
        <w:rFonts w:hint="default"/>
        <w:b w:val="0"/>
        <w:i w:val="0"/>
        <w:caps w:val="0"/>
        <w:smallCaps w:val="0"/>
        <w:u w:val="none"/>
      </w:rPr>
    </w:lvl>
  </w:abstractNum>
  <w:abstractNum w:abstractNumId="23" w15:restartNumberingAfterBreak="0">
    <w:nsid w:val="688B5C5A"/>
    <w:multiLevelType w:val="hybridMultilevel"/>
    <w:tmpl w:val="519AD342"/>
    <w:lvl w:ilvl="0" w:tplc="18DE4134">
      <w:start w:val="1"/>
      <w:numFmt w:val="decimal"/>
      <w:lvlText w:val="%1."/>
      <w:lvlJc w:val="left"/>
      <w:pPr>
        <w:tabs>
          <w:tab w:val="num" w:pos="1440"/>
        </w:tabs>
        <w:ind w:left="1440" w:hanging="360"/>
      </w:pPr>
      <w:rPr>
        <w:rFonts w:cs="Times New Roman"/>
      </w:rPr>
    </w:lvl>
    <w:lvl w:ilvl="1" w:tplc="B73AAB56" w:tentative="1">
      <w:start w:val="1"/>
      <w:numFmt w:val="lowerLetter"/>
      <w:lvlText w:val="%2."/>
      <w:lvlJc w:val="left"/>
      <w:pPr>
        <w:tabs>
          <w:tab w:val="num" w:pos="2160"/>
        </w:tabs>
        <w:ind w:left="2160" w:hanging="360"/>
      </w:pPr>
      <w:rPr>
        <w:rFonts w:cs="Times New Roman"/>
      </w:rPr>
    </w:lvl>
    <w:lvl w:ilvl="2" w:tplc="B5287110" w:tentative="1">
      <w:start w:val="1"/>
      <w:numFmt w:val="lowerRoman"/>
      <w:lvlText w:val="%3."/>
      <w:lvlJc w:val="right"/>
      <w:pPr>
        <w:tabs>
          <w:tab w:val="num" w:pos="2880"/>
        </w:tabs>
        <w:ind w:left="2880" w:hanging="180"/>
      </w:pPr>
      <w:rPr>
        <w:rFonts w:cs="Times New Roman"/>
      </w:rPr>
    </w:lvl>
    <w:lvl w:ilvl="3" w:tplc="DF622CCA" w:tentative="1">
      <w:start w:val="1"/>
      <w:numFmt w:val="decimal"/>
      <w:lvlText w:val="%4."/>
      <w:lvlJc w:val="left"/>
      <w:pPr>
        <w:tabs>
          <w:tab w:val="num" w:pos="3600"/>
        </w:tabs>
        <w:ind w:left="3600" w:hanging="360"/>
      </w:pPr>
      <w:rPr>
        <w:rFonts w:cs="Times New Roman"/>
      </w:rPr>
    </w:lvl>
    <w:lvl w:ilvl="4" w:tplc="A2F87A4E" w:tentative="1">
      <w:start w:val="1"/>
      <w:numFmt w:val="lowerLetter"/>
      <w:lvlText w:val="%5."/>
      <w:lvlJc w:val="left"/>
      <w:pPr>
        <w:tabs>
          <w:tab w:val="num" w:pos="4320"/>
        </w:tabs>
        <w:ind w:left="4320" w:hanging="360"/>
      </w:pPr>
      <w:rPr>
        <w:rFonts w:cs="Times New Roman"/>
      </w:rPr>
    </w:lvl>
    <w:lvl w:ilvl="5" w:tplc="8782F160" w:tentative="1">
      <w:start w:val="1"/>
      <w:numFmt w:val="lowerRoman"/>
      <w:lvlText w:val="%6."/>
      <w:lvlJc w:val="right"/>
      <w:pPr>
        <w:tabs>
          <w:tab w:val="num" w:pos="5040"/>
        </w:tabs>
        <w:ind w:left="5040" w:hanging="180"/>
      </w:pPr>
      <w:rPr>
        <w:rFonts w:cs="Times New Roman"/>
      </w:rPr>
    </w:lvl>
    <w:lvl w:ilvl="6" w:tplc="7BF625D8" w:tentative="1">
      <w:start w:val="1"/>
      <w:numFmt w:val="decimal"/>
      <w:lvlText w:val="%7."/>
      <w:lvlJc w:val="left"/>
      <w:pPr>
        <w:tabs>
          <w:tab w:val="num" w:pos="5760"/>
        </w:tabs>
        <w:ind w:left="5760" w:hanging="360"/>
      </w:pPr>
      <w:rPr>
        <w:rFonts w:cs="Times New Roman"/>
      </w:rPr>
    </w:lvl>
    <w:lvl w:ilvl="7" w:tplc="1E5E3D58" w:tentative="1">
      <w:start w:val="1"/>
      <w:numFmt w:val="lowerLetter"/>
      <w:lvlText w:val="%8."/>
      <w:lvlJc w:val="left"/>
      <w:pPr>
        <w:tabs>
          <w:tab w:val="num" w:pos="6480"/>
        </w:tabs>
        <w:ind w:left="6480" w:hanging="360"/>
      </w:pPr>
      <w:rPr>
        <w:rFonts w:cs="Times New Roman"/>
      </w:rPr>
    </w:lvl>
    <w:lvl w:ilvl="8" w:tplc="AFFCFC92" w:tentative="1">
      <w:start w:val="1"/>
      <w:numFmt w:val="lowerRoman"/>
      <w:lvlText w:val="%9."/>
      <w:lvlJc w:val="right"/>
      <w:pPr>
        <w:tabs>
          <w:tab w:val="num" w:pos="7200"/>
        </w:tabs>
        <w:ind w:left="7200" w:hanging="180"/>
      </w:pPr>
      <w:rPr>
        <w:rFonts w:cs="Times New Roman"/>
      </w:rPr>
    </w:lvl>
  </w:abstractNum>
  <w:abstractNum w:abstractNumId="24" w15:restartNumberingAfterBreak="0">
    <w:nsid w:val="6B376CBE"/>
    <w:multiLevelType w:val="hybridMultilevel"/>
    <w:tmpl w:val="02D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537F2"/>
    <w:multiLevelType w:val="multilevel"/>
    <w:tmpl w:val="7D0831C6"/>
    <w:lvl w:ilvl="0">
      <w:start w:val="1"/>
      <w:numFmt w:val="upperRoman"/>
      <w:suff w:val="nothing"/>
      <w:lvlText w:val="%1."/>
      <w:lvlJc w:val="left"/>
      <w:pPr>
        <w:ind w:left="0" w:firstLine="0"/>
      </w:pPr>
      <w:rPr>
        <w:rFonts w:hint="default"/>
        <w:b/>
        <w:i w:val="0"/>
        <w:caps/>
        <w:smallCaps w:val="0"/>
        <w:u w:val="single"/>
      </w:rPr>
    </w:lvl>
    <w:lvl w:ilvl="1">
      <w:start w:val="1"/>
      <w:numFmt w:val="none"/>
      <w:lvlRestart w:val="0"/>
      <w:lvlText w:val="Q."/>
      <w:lvlJc w:val="left"/>
      <w:pPr>
        <w:tabs>
          <w:tab w:val="num" w:pos="720"/>
        </w:tabs>
        <w:ind w:left="720" w:hanging="720"/>
      </w:pPr>
      <w:rPr>
        <w:rFonts w:hint="default"/>
        <w:b/>
        <w:i w:val="0"/>
        <w:caps/>
        <w:smallCaps w:val="0"/>
        <w:u w:val="none"/>
      </w:rPr>
    </w:lvl>
    <w:lvl w:ilvl="2">
      <w:start w:val="1"/>
      <w:numFmt w:val="none"/>
      <w:lvlRestart w:val="0"/>
      <w:lvlText w:val="A."/>
      <w:lvlJc w:val="left"/>
      <w:pPr>
        <w:tabs>
          <w:tab w:val="num" w:pos="2160"/>
        </w:tabs>
        <w:ind w:left="720" w:hanging="720"/>
      </w:pPr>
      <w:rPr>
        <w:rFonts w:hint="default"/>
        <w:b w:val="0"/>
        <w:i w:val="0"/>
        <w:caps w:val="0"/>
        <w:smallCaps w:val="0"/>
        <w:u w:val="none"/>
      </w:rPr>
    </w:lvl>
    <w:lvl w:ilvl="3">
      <w:start w:val="1"/>
      <w:numFmt w:val="decimal"/>
      <w:lvlText w:val="(%4)"/>
      <w:lvlJc w:val="left"/>
      <w:pPr>
        <w:tabs>
          <w:tab w:val="num" w:pos="2880"/>
        </w:tabs>
        <w:ind w:left="0" w:firstLine="2160"/>
      </w:pPr>
      <w:rPr>
        <w:rFonts w:hint="default"/>
        <w:b w:val="0"/>
        <w:i w:val="0"/>
        <w:caps w:val="0"/>
        <w:smallCaps w:val="0"/>
        <w:u w:val="none"/>
      </w:rPr>
    </w:lvl>
    <w:lvl w:ilvl="4">
      <w:start w:val="1"/>
      <w:numFmt w:val="lowerLetter"/>
      <w:lvlText w:val="%5."/>
      <w:lvlJc w:val="left"/>
      <w:pPr>
        <w:tabs>
          <w:tab w:val="num" w:pos="3600"/>
        </w:tabs>
        <w:ind w:left="0" w:firstLine="2880"/>
      </w:pPr>
      <w:rPr>
        <w:rFonts w:hint="default"/>
        <w:b w:val="0"/>
        <w:i w:val="0"/>
        <w:caps w:val="0"/>
        <w:smallCaps w:val="0"/>
        <w:u w:val="none"/>
      </w:rPr>
    </w:lvl>
    <w:lvl w:ilvl="5">
      <w:start w:val="1"/>
      <w:numFmt w:val="lowerRoman"/>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Letter"/>
      <w:lvlText w:val="%8)"/>
      <w:lvlJc w:val="left"/>
      <w:pPr>
        <w:tabs>
          <w:tab w:val="num" w:pos="5760"/>
        </w:tabs>
        <w:ind w:left="0" w:firstLine="5040"/>
      </w:pPr>
      <w:rPr>
        <w:rFonts w:hint="default"/>
        <w:b w:val="0"/>
        <w:i w:val="0"/>
        <w:caps w:val="0"/>
        <w:smallCaps w:val="0"/>
        <w:u w:val="none"/>
      </w:rPr>
    </w:lvl>
    <w:lvl w:ilvl="8">
      <w:start w:val="1"/>
      <w:numFmt w:val="lowerRoman"/>
      <w:lvlText w:val="%9)"/>
      <w:lvlJc w:val="left"/>
      <w:pPr>
        <w:tabs>
          <w:tab w:val="num" w:pos="6480"/>
        </w:tabs>
        <w:ind w:left="0" w:firstLine="5760"/>
      </w:pPr>
      <w:rPr>
        <w:rFonts w:hint="default"/>
        <w:b w:val="0"/>
        <w:i w:val="0"/>
        <w:caps w:val="0"/>
        <w:smallCaps w:val="0"/>
        <w:u w:val="none"/>
      </w:rPr>
    </w:lvl>
  </w:abstractNum>
  <w:abstractNum w:abstractNumId="26" w15:restartNumberingAfterBreak="0">
    <w:nsid w:val="6E2D0D93"/>
    <w:multiLevelType w:val="multilevel"/>
    <w:tmpl w:val="6712B520"/>
    <w:name w:val="zzmpOutline||Outline|2|3|1|1|10|13||1|12|1||1|12|1||1|12|1||1|12|0||1|12|0||1|12|0||1|12|0||1|12|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0" w:firstLine="720"/>
      </w:pPr>
      <w:rPr>
        <w:b w:val="0"/>
        <w:i w:val="0"/>
        <w:caps w:val="0"/>
        <w:smallCaps w:val="0"/>
        <w:u w:val="none"/>
      </w:rPr>
    </w:lvl>
    <w:lvl w:ilvl="2">
      <w:start w:val="1"/>
      <w:numFmt w:val="decimal"/>
      <w:pStyle w:val="OutlineL3"/>
      <w:lvlText w:val="%3."/>
      <w:lvlJc w:val="left"/>
      <w:pPr>
        <w:tabs>
          <w:tab w:val="num" w:pos="2160"/>
        </w:tabs>
        <w:ind w:left="0" w:firstLine="1440"/>
      </w:pPr>
      <w:rPr>
        <w:b w:val="0"/>
        <w:i w:val="0"/>
        <w:caps w:val="0"/>
        <w:smallCaps w:val="0"/>
        <w:u w:val="none"/>
      </w:rPr>
    </w:lvl>
    <w:lvl w:ilvl="3">
      <w:start w:val="1"/>
      <w:numFmt w:val="lowerLetter"/>
      <w:pStyle w:val="OutlineL4"/>
      <w:lvlText w:val="%4."/>
      <w:lvlJc w:val="left"/>
      <w:pPr>
        <w:tabs>
          <w:tab w:val="num" w:pos="2880"/>
        </w:tabs>
        <w:ind w:left="0" w:firstLine="2160"/>
      </w:pPr>
      <w:rPr>
        <w:b w:val="0"/>
        <w:i w:val="0"/>
        <w:caps w:val="0"/>
        <w:smallCaps w:val="0"/>
        <w:u w:val="none"/>
      </w:rPr>
    </w:lvl>
    <w:lvl w:ilvl="4">
      <w:start w:val="1"/>
      <w:numFmt w:val="lowerRoman"/>
      <w:pStyle w:val="OutlineL5"/>
      <w:lvlText w:val="(%5)"/>
      <w:lvlJc w:val="left"/>
      <w:pPr>
        <w:tabs>
          <w:tab w:val="num" w:pos="3600"/>
        </w:tabs>
        <w:ind w:left="0" w:firstLine="2880"/>
      </w:pPr>
      <w:rPr>
        <w:b w:val="0"/>
        <w:i w:val="0"/>
        <w:caps w:val="0"/>
        <w:smallCaps w:val="0"/>
        <w:u w:val="none"/>
      </w:rPr>
    </w:lvl>
    <w:lvl w:ilvl="5">
      <w:start w:val="1"/>
      <w:numFmt w:val="lowerLetter"/>
      <w:pStyle w:val="OutlineL6"/>
      <w:lvlText w:val="(%6)"/>
      <w:lvlJc w:val="left"/>
      <w:pPr>
        <w:tabs>
          <w:tab w:val="num" w:pos="4320"/>
        </w:tabs>
        <w:ind w:left="0" w:firstLine="3600"/>
      </w:pPr>
      <w:rPr>
        <w:b w:val="0"/>
        <w:i w:val="0"/>
        <w:caps w:val="0"/>
        <w:smallCaps w:val="0"/>
        <w:u w:val="none"/>
      </w:rPr>
    </w:lvl>
    <w:lvl w:ilvl="6">
      <w:start w:val="1"/>
      <w:numFmt w:val="decimal"/>
      <w:pStyle w:val="OutlineL7"/>
      <w:lvlText w:val="(%7)"/>
      <w:lvlJc w:val="left"/>
      <w:pPr>
        <w:tabs>
          <w:tab w:val="num" w:pos="5040"/>
        </w:tabs>
        <w:ind w:left="0" w:firstLine="4320"/>
      </w:pPr>
      <w:rPr>
        <w:b w:val="0"/>
        <w:i w:val="0"/>
        <w:caps w:val="0"/>
        <w:smallCaps w:val="0"/>
        <w:u w:val="none"/>
      </w:rPr>
    </w:lvl>
    <w:lvl w:ilvl="7">
      <w:start w:val="1"/>
      <w:numFmt w:val="lowerRoman"/>
      <w:pStyle w:val="OutlineL8"/>
      <w:lvlText w:val="%8)"/>
      <w:lvlJc w:val="left"/>
      <w:pPr>
        <w:tabs>
          <w:tab w:val="num" w:pos="5760"/>
        </w:tabs>
        <w:ind w:left="0" w:firstLine="5040"/>
      </w:pPr>
      <w:rPr>
        <w:b w:val="0"/>
        <w:i w:val="0"/>
        <w:caps w:val="0"/>
        <w:smallCaps w:val="0"/>
        <w:u w:val="none"/>
      </w:rPr>
    </w:lvl>
    <w:lvl w:ilvl="8">
      <w:start w:val="1"/>
      <w:numFmt w:val="lowerLetter"/>
      <w:pStyle w:val="OutlineL9"/>
      <w:lvlText w:val="%9)"/>
      <w:lvlJc w:val="left"/>
      <w:pPr>
        <w:tabs>
          <w:tab w:val="num" w:pos="6480"/>
        </w:tabs>
        <w:ind w:left="0" w:firstLine="5760"/>
      </w:pPr>
      <w:rPr>
        <w:b w:val="0"/>
        <w:i w:val="0"/>
        <w:caps w:val="0"/>
        <w:smallCaps w:val="0"/>
        <w:u w:val="none"/>
      </w:rPr>
    </w:lvl>
  </w:abstractNum>
  <w:abstractNum w:abstractNumId="27" w15:restartNumberingAfterBreak="0">
    <w:nsid w:val="6FC934EE"/>
    <w:multiLevelType w:val="multilevel"/>
    <w:tmpl w:val="B65C853A"/>
    <w:lvl w:ilvl="0">
      <w:start w:val="1"/>
      <w:numFmt w:val="upperRoman"/>
      <w:suff w:val="nothing"/>
      <w:lvlText w:val="%1."/>
      <w:lvlJc w:val="left"/>
      <w:pPr>
        <w:ind w:left="0" w:firstLine="0"/>
      </w:pPr>
      <w:rPr>
        <w:rFonts w:hint="default"/>
        <w:b/>
        <w:i w:val="0"/>
        <w:caps/>
        <w:smallCaps w:val="0"/>
        <w:u w:val="single"/>
      </w:rPr>
    </w:lvl>
    <w:lvl w:ilvl="1">
      <w:start w:val="1"/>
      <w:numFmt w:val="none"/>
      <w:lvlRestart w:val="0"/>
      <w:lvlText w:val="Q."/>
      <w:lvlJc w:val="left"/>
      <w:pPr>
        <w:tabs>
          <w:tab w:val="num" w:pos="720"/>
        </w:tabs>
        <w:ind w:left="720" w:hanging="720"/>
      </w:pPr>
      <w:rPr>
        <w:rFonts w:hint="default"/>
        <w:b/>
        <w:i w:val="0"/>
        <w:caps/>
        <w:smallCaps w:val="0"/>
        <w:u w:val="none"/>
      </w:rPr>
    </w:lvl>
    <w:lvl w:ilvl="2">
      <w:start w:val="1"/>
      <w:numFmt w:val="none"/>
      <w:lvlRestart w:val="0"/>
      <w:lvlText w:val="A."/>
      <w:lvlJc w:val="left"/>
      <w:pPr>
        <w:tabs>
          <w:tab w:val="num" w:pos="2160"/>
        </w:tabs>
        <w:ind w:left="720" w:hanging="720"/>
      </w:pPr>
      <w:rPr>
        <w:rFonts w:hint="default"/>
        <w:b w:val="0"/>
        <w:i w:val="0"/>
        <w:caps w:val="0"/>
        <w:smallCaps w:val="0"/>
        <w:u w:val="none"/>
      </w:rPr>
    </w:lvl>
    <w:lvl w:ilvl="3">
      <w:start w:val="1"/>
      <w:numFmt w:val="decimal"/>
      <w:lvlText w:val="(%4)"/>
      <w:lvlJc w:val="left"/>
      <w:pPr>
        <w:tabs>
          <w:tab w:val="num" w:pos="2880"/>
        </w:tabs>
        <w:ind w:left="0" w:firstLine="2160"/>
      </w:pPr>
      <w:rPr>
        <w:rFonts w:hint="default"/>
        <w:b w:val="0"/>
        <w:i w:val="0"/>
        <w:caps w:val="0"/>
        <w:smallCaps w:val="0"/>
        <w:u w:val="none"/>
      </w:rPr>
    </w:lvl>
    <w:lvl w:ilvl="4">
      <w:start w:val="1"/>
      <w:numFmt w:val="lowerLetter"/>
      <w:lvlText w:val="%5."/>
      <w:lvlJc w:val="left"/>
      <w:pPr>
        <w:tabs>
          <w:tab w:val="num" w:pos="3600"/>
        </w:tabs>
        <w:ind w:left="0" w:firstLine="2880"/>
      </w:pPr>
      <w:rPr>
        <w:rFonts w:hint="default"/>
        <w:b w:val="0"/>
        <w:i w:val="0"/>
        <w:caps w:val="0"/>
        <w:smallCaps w:val="0"/>
        <w:u w:val="none"/>
      </w:rPr>
    </w:lvl>
    <w:lvl w:ilvl="5">
      <w:start w:val="1"/>
      <w:numFmt w:val="lowerRoman"/>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Letter"/>
      <w:lvlText w:val="%8)"/>
      <w:lvlJc w:val="left"/>
      <w:pPr>
        <w:tabs>
          <w:tab w:val="num" w:pos="5760"/>
        </w:tabs>
        <w:ind w:left="0" w:firstLine="5040"/>
      </w:pPr>
      <w:rPr>
        <w:rFonts w:hint="default"/>
        <w:b w:val="0"/>
        <w:i w:val="0"/>
        <w:caps w:val="0"/>
        <w:smallCaps w:val="0"/>
        <w:u w:val="none"/>
      </w:rPr>
    </w:lvl>
    <w:lvl w:ilvl="8">
      <w:start w:val="1"/>
      <w:numFmt w:val="lowerRoman"/>
      <w:lvlText w:val="%9)"/>
      <w:lvlJc w:val="left"/>
      <w:pPr>
        <w:tabs>
          <w:tab w:val="num" w:pos="6480"/>
        </w:tabs>
        <w:ind w:left="0" w:firstLine="5760"/>
      </w:pPr>
      <w:rPr>
        <w:rFonts w:hint="default"/>
        <w:b w:val="0"/>
        <w:i w:val="0"/>
        <w:caps w:val="0"/>
        <w:smallCaps w:val="0"/>
        <w:u w:val="none"/>
      </w:rPr>
    </w:lvl>
  </w:abstractNum>
  <w:abstractNum w:abstractNumId="28" w15:restartNumberingAfterBreak="0">
    <w:nsid w:val="7D3F29B5"/>
    <w:multiLevelType w:val="hybridMultilevel"/>
    <w:tmpl w:val="334E852C"/>
    <w:lvl w:ilvl="0" w:tplc="4A8C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12"/>
  </w:num>
  <w:num w:numId="4">
    <w:abstractNumId w:val="9"/>
  </w:num>
  <w:num w:numId="5">
    <w:abstractNumId w:val="18"/>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7"/>
  </w:num>
  <w:num w:numId="9">
    <w:abstractNumId w:val="3"/>
  </w:num>
  <w:num w:numId="10">
    <w:abstractNumId w:val="14"/>
  </w:num>
  <w:num w:numId="11">
    <w:abstractNumId w:val="25"/>
  </w:num>
  <w:num w:numId="12">
    <w:abstractNumId w:val="27"/>
  </w:num>
  <w:num w:numId="13">
    <w:abstractNumId w:val="22"/>
  </w:num>
  <w:num w:numId="14">
    <w:abstractNumId w:val="8"/>
  </w:num>
  <w:num w:numId="15">
    <w:abstractNumId w:val="21"/>
  </w:num>
  <w:num w:numId="16">
    <w:abstractNumId w:val="26"/>
  </w:num>
  <w:num w:numId="17">
    <w:abstractNumId w:val="6"/>
  </w:num>
  <w:num w:numId="18">
    <w:abstractNumId w:val="4"/>
  </w:num>
  <w:num w:numId="19">
    <w:abstractNumId w:val="7"/>
  </w:num>
  <w:num w:numId="20">
    <w:abstractNumId w:val="15"/>
  </w:num>
  <w:num w:numId="21">
    <w:abstractNumId w:val="16"/>
  </w:num>
  <w:num w:numId="22">
    <w:abstractNumId w:val="5"/>
  </w:num>
  <w:num w:numId="23">
    <w:abstractNumId w:val="13"/>
  </w:num>
  <w:num w:numId="24">
    <w:abstractNumId w:val="28"/>
  </w:num>
  <w:num w:numId="25">
    <w:abstractNumId w:val="1"/>
  </w:num>
  <w:num w:numId="26">
    <w:abstractNumId w:val="24"/>
  </w:num>
  <w:num w:numId="27">
    <w:abstractNumId w:val="11"/>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10"/>
  </w:num>
  <w:num w:numId="3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cbxMaxLevel" w:val="1"/>
    <w:docVar w:name="cbxMinLevel" w:val="1"/>
    <w:docVar w:name="cbxScheduleStyles" w:val="0"/>
    <w:docVar w:name="cbxTOCScheme" w:val="4"/>
    <w:docVar w:name="chkApplyManualFormatsToTOC" w:val="0"/>
    <w:docVar w:name="chkApplyTOC9" w:val="0"/>
    <w:docVar w:name="chkHyperlinks" w:val="1"/>
    <w:docVar w:name="chkMark" w:val="0"/>
    <w:docVar w:name="chkStyles" w:val="1"/>
    <w:docVar w:name="chkTCEntries" w:val="0"/>
    <w:docVar w:name="chkTwoColumn" w:val="0"/>
    <w:docVar w:name="DocStamp_1_OptionalControlValues" w:val="Library|&amp;Library|0|%l|Version|&amp;Version|0|%v|ClientMatter|&amp;Client/Matter|0|%cm"/>
    <w:docVar w:name="Exclusions" w:val=",Heading,"/>
    <w:docVar w:name="MPDocID" w:val="119419402v15"/>
    <w:docVar w:name="MPDocIDTemplate" w:val="%l| %n|v%v| %c|.%m"/>
    <w:docVar w:name="MPDocIDTemplateDefault" w:val="%l| %n|v%v| %c|.%m"/>
    <w:docVar w:name="NewDocStampType" w:val="7"/>
    <w:docVar w:name="optCreateFrom" w:val="0"/>
    <w:docVar w:name="optInclude" w:val="0"/>
    <w:docVar w:name="StyleExclusions" w:val=",Answer 1,hang,Heading 1,Heading 2,Heading 3,Heading 4,Heading 5,Heading 6,Heading 7,Heading 8,Heading 9,Indent,Outline_L2,Outline_L3,Outline_L4,Outline_L5,Outline_L6,Outline_L7,Outline_L8,Outline_L9,Standard_L1,Standard_L2,Standard_L3,Subtitle,Title,"/>
    <w:docVar w:name="StyleInclusions" w:val=",Outline_L1,"/>
    <w:docVar w:name="zzmpFixedCurScheme" w:val="Outline"/>
    <w:docVar w:name="zzmpFixedCurScheme_9.0" w:val="2zzmpOutline"/>
    <w:docVar w:name="zzmpLegacyTrailerRemovedNew" w:val="True"/>
    <w:docVar w:name="zzmpLTFontsClean" w:val="True"/>
    <w:docVar w:name="zzmpnSession" w:val="0.8815424"/>
    <w:docVar w:name="zzmpOutline" w:val="||Outline|2|3|1|1|10|13||1|12|1||1|12|1||1|12|1||1|12|0||1|12|0||1|12|0||1|12|0||1|12|0||"/>
    <w:docVar w:name="zzmpTrailerDateFormat" w:val="0"/>
  </w:docVars>
  <w:rsids>
    <w:rsidRoot w:val="00AE53C8"/>
    <w:rsid w:val="0000153D"/>
    <w:rsid w:val="0000432F"/>
    <w:rsid w:val="00004BB7"/>
    <w:rsid w:val="00004F9D"/>
    <w:rsid w:val="0000699A"/>
    <w:rsid w:val="00006F12"/>
    <w:rsid w:val="00010671"/>
    <w:rsid w:val="00010A96"/>
    <w:rsid w:val="00013ADC"/>
    <w:rsid w:val="000140A2"/>
    <w:rsid w:val="000142F9"/>
    <w:rsid w:val="00015754"/>
    <w:rsid w:val="00016332"/>
    <w:rsid w:val="00016811"/>
    <w:rsid w:val="00021F7A"/>
    <w:rsid w:val="0002542D"/>
    <w:rsid w:val="000262D7"/>
    <w:rsid w:val="0002682C"/>
    <w:rsid w:val="000269E7"/>
    <w:rsid w:val="00026C23"/>
    <w:rsid w:val="000278B8"/>
    <w:rsid w:val="00027C88"/>
    <w:rsid w:val="0003104E"/>
    <w:rsid w:val="00031535"/>
    <w:rsid w:val="00031A62"/>
    <w:rsid w:val="00032199"/>
    <w:rsid w:val="00033A8C"/>
    <w:rsid w:val="000363FA"/>
    <w:rsid w:val="000379EF"/>
    <w:rsid w:val="0004120D"/>
    <w:rsid w:val="0004283A"/>
    <w:rsid w:val="000438BC"/>
    <w:rsid w:val="00043C19"/>
    <w:rsid w:val="000440A9"/>
    <w:rsid w:val="00045869"/>
    <w:rsid w:val="00046498"/>
    <w:rsid w:val="000469B1"/>
    <w:rsid w:val="00046C42"/>
    <w:rsid w:val="00047FE3"/>
    <w:rsid w:val="00050B56"/>
    <w:rsid w:val="00051566"/>
    <w:rsid w:val="000535E6"/>
    <w:rsid w:val="00053EF7"/>
    <w:rsid w:val="000547D2"/>
    <w:rsid w:val="000548A3"/>
    <w:rsid w:val="000551B7"/>
    <w:rsid w:val="00055C39"/>
    <w:rsid w:val="000566AC"/>
    <w:rsid w:val="0005752D"/>
    <w:rsid w:val="00057A61"/>
    <w:rsid w:val="000606C5"/>
    <w:rsid w:val="00061E05"/>
    <w:rsid w:val="0006230B"/>
    <w:rsid w:val="0006307F"/>
    <w:rsid w:val="000637B8"/>
    <w:rsid w:val="000638EA"/>
    <w:rsid w:val="00065518"/>
    <w:rsid w:val="000657C9"/>
    <w:rsid w:val="000661AC"/>
    <w:rsid w:val="00067062"/>
    <w:rsid w:val="000670C2"/>
    <w:rsid w:val="00071361"/>
    <w:rsid w:val="0007136B"/>
    <w:rsid w:val="00071456"/>
    <w:rsid w:val="000741EA"/>
    <w:rsid w:val="00074FE8"/>
    <w:rsid w:val="000763E2"/>
    <w:rsid w:val="00077F17"/>
    <w:rsid w:val="00080AF1"/>
    <w:rsid w:val="000836BC"/>
    <w:rsid w:val="000839C3"/>
    <w:rsid w:val="00083F23"/>
    <w:rsid w:val="0008471C"/>
    <w:rsid w:val="00084D1B"/>
    <w:rsid w:val="00085AED"/>
    <w:rsid w:val="00092465"/>
    <w:rsid w:val="00092535"/>
    <w:rsid w:val="00092540"/>
    <w:rsid w:val="00093EDB"/>
    <w:rsid w:val="000964A6"/>
    <w:rsid w:val="00096ACB"/>
    <w:rsid w:val="00096DDA"/>
    <w:rsid w:val="00096DFA"/>
    <w:rsid w:val="0009736B"/>
    <w:rsid w:val="000A210C"/>
    <w:rsid w:val="000A27BD"/>
    <w:rsid w:val="000A5D65"/>
    <w:rsid w:val="000A6411"/>
    <w:rsid w:val="000B0709"/>
    <w:rsid w:val="000B1A32"/>
    <w:rsid w:val="000B3DD3"/>
    <w:rsid w:val="000B4D94"/>
    <w:rsid w:val="000B587B"/>
    <w:rsid w:val="000B5D11"/>
    <w:rsid w:val="000B6F48"/>
    <w:rsid w:val="000B79FA"/>
    <w:rsid w:val="000C03E4"/>
    <w:rsid w:val="000C20A3"/>
    <w:rsid w:val="000C21DF"/>
    <w:rsid w:val="000C2C2C"/>
    <w:rsid w:val="000C2CD6"/>
    <w:rsid w:val="000C2E84"/>
    <w:rsid w:val="000C4ED9"/>
    <w:rsid w:val="000C54E8"/>
    <w:rsid w:val="000C6293"/>
    <w:rsid w:val="000C7884"/>
    <w:rsid w:val="000D0639"/>
    <w:rsid w:val="000D0939"/>
    <w:rsid w:val="000D0E61"/>
    <w:rsid w:val="000D4074"/>
    <w:rsid w:val="000D6F55"/>
    <w:rsid w:val="000D70AE"/>
    <w:rsid w:val="000E0109"/>
    <w:rsid w:val="000E0562"/>
    <w:rsid w:val="000E1280"/>
    <w:rsid w:val="000E1700"/>
    <w:rsid w:val="000E2673"/>
    <w:rsid w:val="000E2807"/>
    <w:rsid w:val="000E2BAE"/>
    <w:rsid w:val="000E431A"/>
    <w:rsid w:val="000E5288"/>
    <w:rsid w:val="000E5C51"/>
    <w:rsid w:val="000F1283"/>
    <w:rsid w:val="000F1E2F"/>
    <w:rsid w:val="000F421D"/>
    <w:rsid w:val="000F4D54"/>
    <w:rsid w:val="000F60C5"/>
    <w:rsid w:val="001013D1"/>
    <w:rsid w:val="00101992"/>
    <w:rsid w:val="001020BB"/>
    <w:rsid w:val="001020E4"/>
    <w:rsid w:val="001027D5"/>
    <w:rsid w:val="001028A4"/>
    <w:rsid w:val="00102C50"/>
    <w:rsid w:val="001040C9"/>
    <w:rsid w:val="001071E7"/>
    <w:rsid w:val="001102DB"/>
    <w:rsid w:val="00111578"/>
    <w:rsid w:val="00112007"/>
    <w:rsid w:val="00112567"/>
    <w:rsid w:val="00112807"/>
    <w:rsid w:val="001128A8"/>
    <w:rsid w:val="001130BC"/>
    <w:rsid w:val="00114B7B"/>
    <w:rsid w:val="00116E6B"/>
    <w:rsid w:val="001204D7"/>
    <w:rsid w:val="00121A55"/>
    <w:rsid w:val="00122F6D"/>
    <w:rsid w:val="0012458D"/>
    <w:rsid w:val="00126993"/>
    <w:rsid w:val="001272DA"/>
    <w:rsid w:val="0013071F"/>
    <w:rsid w:val="00131682"/>
    <w:rsid w:val="001318DC"/>
    <w:rsid w:val="00134518"/>
    <w:rsid w:val="001346F9"/>
    <w:rsid w:val="00134F87"/>
    <w:rsid w:val="00136F4A"/>
    <w:rsid w:val="0013778E"/>
    <w:rsid w:val="00137AEB"/>
    <w:rsid w:val="00137C5A"/>
    <w:rsid w:val="0014073E"/>
    <w:rsid w:val="00140B9A"/>
    <w:rsid w:val="00141806"/>
    <w:rsid w:val="00141CF6"/>
    <w:rsid w:val="00142E05"/>
    <w:rsid w:val="00145F37"/>
    <w:rsid w:val="00146464"/>
    <w:rsid w:val="00146D63"/>
    <w:rsid w:val="00146EFB"/>
    <w:rsid w:val="001511AA"/>
    <w:rsid w:val="0015225D"/>
    <w:rsid w:val="00152A09"/>
    <w:rsid w:val="0015309B"/>
    <w:rsid w:val="00153A6C"/>
    <w:rsid w:val="00153F6E"/>
    <w:rsid w:val="00154F62"/>
    <w:rsid w:val="001573C9"/>
    <w:rsid w:val="001608A0"/>
    <w:rsid w:val="0016510C"/>
    <w:rsid w:val="00166490"/>
    <w:rsid w:val="0016663F"/>
    <w:rsid w:val="00167947"/>
    <w:rsid w:val="00167B33"/>
    <w:rsid w:val="00170AA5"/>
    <w:rsid w:val="00173445"/>
    <w:rsid w:val="0017538D"/>
    <w:rsid w:val="00175824"/>
    <w:rsid w:val="00176C6F"/>
    <w:rsid w:val="00177921"/>
    <w:rsid w:val="00177EB2"/>
    <w:rsid w:val="0018067D"/>
    <w:rsid w:val="00181463"/>
    <w:rsid w:val="001826EF"/>
    <w:rsid w:val="00184F36"/>
    <w:rsid w:val="0018539A"/>
    <w:rsid w:val="00185E88"/>
    <w:rsid w:val="00185EAA"/>
    <w:rsid w:val="00186B01"/>
    <w:rsid w:val="00186CEE"/>
    <w:rsid w:val="00187944"/>
    <w:rsid w:val="00190EBF"/>
    <w:rsid w:val="00192625"/>
    <w:rsid w:val="00193CE1"/>
    <w:rsid w:val="00194D59"/>
    <w:rsid w:val="001961B0"/>
    <w:rsid w:val="001A02F7"/>
    <w:rsid w:val="001A02FA"/>
    <w:rsid w:val="001A11D7"/>
    <w:rsid w:val="001A186C"/>
    <w:rsid w:val="001A18DA"/>
    <w:rsid w:val="001A1CD7"/>
    <w:rsid w:val="001A2D29"/>
    <w:rsid w:val="001A379F"/>
    <w:rsid w:val="001A412B"/>
    <w:rsid w:val="001A4537"/>
    <w:rsid w:val="001A5B8A"/>
    <w:rsid w:val="001A65D0"/>
    <w:rsid w:val="001A7665"/>
    <w:rsid w:val="001B0206"/>
    <w:rsid w:val="001B1B77"/>
    <w:rsid w:val="001B23AF"/>
    <w:rsid w:val="001B2765"/>
    <w:rsid w:val="001B2F07"/>
    <w:rsid w:val="001B58F5"/>
    <w:rsid w:val="001C1BC7"/>
    <w:rsid w:val="001C247B"/>
    <w:rsid w:val="001C2BC0"/>
    <w:rsid w:val="001C322D"/>
    <w:rsid w:val="001C3374"/>
    <w:rsid w:val="001C607D"/>
    <w:rsid w:val="001D016C"/>
    <w:rsid w:val="001D17EC"/>
    <w:rsid w:val="001D2541"/>
    <w:rsid w:val="001D3829"/>
    <w:rsid w:val="001D4E09"/>
    <w:rsid w:val="001D5070"/>
    <w:rsid w:val="001D637E"/>
    <w:rsid w:val="001D660F"/>
    <w:rsid w:val="001D7A5B"/>
    <w:rsid w:val="001E0D88"/>
    <w:rsid w:val="001E0F0E"/>
    <w:rsid w:val="001E24B7"/>
    <w:rsid w:val="001E37FC"/>
    <w:rsid w:val="001E3FB7"/>
    <w:rsid w:val="001E44D2"/>
    <w:rsid w:val="001E5DC8"/>
    <w:rsid w:val="001E69FE"/>
    <w:rsid w:val="001E7346"/>
    <w:rsid w:val="001F06D4"/>
    <w:rsid w:val="001F1A6B"/>
    <w:rsid w:val="001F23F3"/>
    <w:rsid w:val="001F2CB2"/>
    <w:rsid w:val="001F6357"/>
    <w:rsid w:val="001F6800"/>
    <w:rsid w:val="001F6C28"/>
    <w:rsid w:val="002005B7"/>
    <w:rsid w:val="00200735"/>
    <w:rsid w:val="00201284"/>
    <w:rsid w:val="00201383"/>
    <w:rsid w:val="00201A4D"/>
    <w:rsid w:val="0020258F"/>
    <w:rsid w:val="002028F4"/>
    <w:rsid w:val="0020341B"/>
    <w:rsid w:val="00203D21"/>
    <w:rsid w:val="00203F5F"/>
    <w:rsid w:val="00204193"/>
    <w:rsid w:val="002057E0"/>
    <w:rsid w:val="00207B13"/>
    <w:rsid w:val="0021474E"/>
    <w:rsid w:val="002148B4"/>
    <w:rsid w:val="00216804"/>
    <w:rsid w:val="0021755C"/>
    <w:rsid w:val="00217DA2"/>
    <w:rsid w:val="002217AC"/>
    <w:rsid w:val="002218D0"/>
    <w:rsid w:val="002219C0"/>
    <w:rsid w:val="0022203A"/>
    <w:rsid w:val="0022247C"/>
    <w:rsid w:val="00222534"/>
    <w:rsid w:val="00223044"/>
    <w:rsid w:val="00224097"/>
    <w:rsid w:val="002322D2"/>
    <w:rsid w:val="00232756"/>
    <w:rsid w:val="00232AA6"/>
    <w:rsid w:val="00233AAD"/>
    <w:rsid w:val="00233F43"/>
    <w:rsid w:val="00234A37"/>
    <w:rsid w:val="00234A69"/>
    <w:rsid w:val="00234E05"/>
    <w:rsid w:val="00234E6E"/>
    <w:rsid w:val="00236501"/>
    <w:rsid w:val="00236E84"/>
    <w:rsid w:val="0023730D"/>
    <w:rsid w:val="002377E3"/>
    <w:rsid w:val="002407DC"/>
    <w:rsid w:val="00240A3A"/>
    <w:rsid w:val="002424B2"/>
    <w:rsid w:val="0024289D"/>
    <w:rsid w:val="0024328A"/>
    <w:rsid w:val="00243603"/>
    <w:rsid w:val="00243F5C"/>
    <w:rsid w:val="002442DA"/>
    <w:rsid w:val="00244B32"/>
    <w:rsid w:val="00244F27"/>
    <w:rsid w:val="00246FDA"/>
    <w:rsid w:val="0025111B"/>
    <w:rsid w:val="00251551"/>
    <w:rsid w:val="00252148"/>
    <w:rsid w:val="00255089"/>
    <w:rsid w:val="0025508C"/>
    <w:rsid w:val="0025533D"/>
    <w:rsid w:val="00255553"/>
    <w:rsid w:val="0025706A"/>
    <w:rsid w:val="00257674"/>
    <w:rsid w:val="00257DE9"/>
    <w:rsid w:val="00262D54"/>
    <w:rsid w:val="00264617"/>
    <w:rsid w:val="00265581"/>
    <w:rsid w:val="00270E24"/>
    <w:rsid w:val="00272220"/>
    <w:rsid w:val="0027228A"/>
    <w:rsid w:val="002733F1"/>
    <w:rsid w:val="00273ADC"/>
    <w:rsid w:val="00274C60"/>
    <w:rsid w:val="002751A6"/>
    <w:rsid w:val="00276373"/>
    <w:rsid w:val="0027688D"/>
    <w:rsid w:val="0028296D"/>
    <w:rsid w:val="00282E06"/>
    <w:rsid w:val="00285E14"/>
    <w:rsid w:val="00286442"/>
    <w:rsid w:val="00286D1E"/>
    <w:rsid w:val="0028739B"/>
    <w:rsid w:val="0028775E"/>
    <w:rsid w:val="00287DD9"/>
    <w:rsid w:val="00290341"/>
    <w:rsid w:val="00291780"/>
    <w:rsid w:val="00291D1A"/>
    <w:rsid w:val="0029297B"/>
    <w:rsid w:val="00293939"/>
    <w:rsid w:val="0029432B"/>
    <w:rsid w:val="00294CF3"/>
    <w:rsid w:val="00294D4D"/>
    <w:rsid w:val="00296B86"/>
    <w:rsid w:val="002A0755"/>
    <w:rsid w:val="002A116F"/>
    <w:rsid w:val="002A22E7"/>
    <w:rsid w:val="002A2935"/>
    <w:rsid w:val="002A3009"/>
    <w:rsid w:val="002A32E5"/>
    <w:rsid w:val="002A379D"/>
    <w:rsid w:val="002A3E57"/>
    <w:rsid w:val="002A78A3"/>
    <w:rsid w:val="002A7A2E"/>
    <w:rsid w:val="002B068E"/>
    <w:rsid w:val="002B0749"/>
    <w:rsid w:val="002B087A"/>
    <w:rsid w:val="002B147B"/>
    <w:rsid w:val="002B1FD5"/>
    <w:rsid w:val="002B2CC1"/>
    <w:rsid w:val="002B4F7D"/>
    <w:rsid w:val="002B7631"/>
    <w:rsid w:val="002C0313"/>
    <w:rsid w:val="002C14E6"/>
    <w:rsid w:val="002C32AA"/>
    <w:rsid w:val="002C38BA"/>
    <w:rsid w:val="002C6470"/>
    <w:rsid w:val="002C6DC9"/>
    <w:rsid w:val="002C72D4"/>
    <w:rsid w:val="002C7560"/>
    <w:rsid w:val="002D1E7D"/>
    <w:rsid w:val="002D2291"/>
    <w:rsid w:val="002D276B"/>
    <w:rsid w:val="002D2D01"/>
    <w:rsid w:val="002D44D6"/>
    <w:rsid w:val="002D7A9E"/>
    <w:rsid w:val="002E0511"/>
    <w:rsid w:val="002E0567"/>
    <w:rsid w:val="002E2933"/>
    <w:rsid w:val="002E3834"/>
    <w:rsid w:val="002E4299"/>
    <w:rsid w:val="002E6D3F"/>
    <w:rsid w:val="002E7445"/>
    <w:rsid w:val="002F0A14"/>
    <w:rsid w:val="002F0FA7"/>
    <w:rsid w:val="002F29B9"/>
    <w:rsid w:val="002F2BED"/>
    <w:rsid w:val="002F38C1"/>
    <w:rsid w:val="002F4E4D"/>
    <w:rsid w:val="002F50AF"/>
    <w:rsid w:val="002F70D6"/>
    <w:rsid w:val="003021FA"/>
    <w:rsid w:val="00302D24"/>
    <w:rsid w:val="00303275"/>
    <w:rsid w:val="003032EE"/>
    <w:rsid w:val="003060E1"/>
    <w:rsid w:val="0030696C"/>
    <w:rsid w:val="0031314C"/>
    <w:rsid w:val="00317405"/>
    <w:rsid w:val="0032028D"/>
    <w:rsid w:val="003211F1"/>
    <w:rsid w:val="003220A0"/>
    <w:rsid w:val="00323587"/>
    <w:rsid w:val="00324233"/>
    <w:rsid w:val="00324825"/>
    <w:rsid w:val="003252A4"/>
    <w:rsid w:val="00331DE4"/>
    <w:rsid w:val="0033264C"/>
    <w:rsid w:val="003327C4"/>
    <w:rsid w:val="00335153"/>
    <w:rsid w:val="00335A0C"/>
    <w:rsid w:val="003362AC"/>
    <w:rsid w:val="00340EC9"/>
    <w:rsid w:val="00341D20"/>
    <w:rsid w:val="00342E2A"/>
    <w:rsid w:val="0034308C"/>
    <w:rsid w:val="00343A33"/>
    <w:rsid w:val="00345602"/>
    <w:rsid w:val="003459A7"/>
    <w:rsid w:val="00345DF9"/>
    <w:rsid w:val="003461BE"/>
    <w:rsid w:val="00347BA7"/>
    <w:rsid w:val="0035071A"/>
    <w:rsid w:val="0035089A"/>
    <w:rsid w:val="0035098C"/>
    <w:rsid w:val="00350ACE"/>
    <w:rsid w:val="00350B9F"/>
    <w:rsid w:val="00351FBE"/>
    <w:rsid w:val="00354B6A"/>
    <w:rsid w:val="00355CA7"/>
    <w:rsid w:val="00356A84"/>
    <w:rsid w:val="00356C96"/>
    <w:rsid w:val="003603A3"/>
    <w:rsid w:val="003604AD"/>
    <w:rsid w:val="00361281"/>
    <w:rsid w:val="00362DA1"/>
    <w:rsid w:val="0036349C"/>
    <w:rsid w:val="00363770"/>
    <w:rsid w:val="00363BA0"/>
    <w:rsid w:val="003645B6"/>
    <w:rsid w:val="00364E86"/>
    <w:rsid w:val="00365902"/>
    <w:rsid w:val="00365AEA"/>
    <w:rsid w:val="00366255"/>
    <w:rsid w:val="003722AD"/>
    <w:rsid w:val="00372F9D"/>
    <w:rsid w:val="0037421A"/>
    <w:rsid w:val="0037453E"/>
    <w:rsid w:val="0037510D"/>
    <w:rsid w:val="003759E6"/>
    <w:rsid w:val="00376921"/>
    <w:rsid w:val="00376E39"/>
    <w:rsid w:val="003770C6"/>
    <w:rsid w:val="00377AE6"/>
    <w:rsid w:val="00377E19"/>
    <w:rsid w:val="0038072B"/>
    <w:rsid w:val="003809F9"/>
    <w:rsid w:val="00381047"/>
    <w:rsid w:val="00381A6F"/>
    <w:rsid w:val="00385563"/>
    <w:rsid w:val="00385FA2"/>
    <w:rsid w:val="0038716C"/>
    <w:rsid w:val="00392BE2"/>
    <w:rsid w:val="003932D8"/>
    <w:rsid w:val="00393A02"/>
    <w:rsid w:val="003952BA"/>
    <w:rsid w:val="0039588C"/>
    <w:rsid w:val="00395972"/>
    <w:rsid w:val="00396A5C"/>
    <w:rsid w:val="003979E6"/>
    <w:rsid w:val="00397FF8"/>
    <w:rsid w:val="003A1B89"/>
    <w:rsid w:val="003A1C89"/>
    <w:rsid w:val="003A2ACE"/>
    <w:rsid w:val="003A3C12"/>
    <w:rsid w:val="003A5AFB"/>
    <w:rsid w:val="003A601F"/>
    <w:rsid w:val="003A70CC"/>
    <w:rsid w:val="003B1854"/>
    <w:rsid w:val="003B236A"/>
    <w:rsid w:val="003B48E5"/>
    <w:rsid w:val="003C03F1"/>
    <w:rsid w:val="003C13FA"/>
    <w:rsid w:val="003C1D1B"/>
    <w:rsid w:val="003C3B3C"/>
    <w:rsid w:val="003C5376"/>
    <w:rsid w:val="003C61B0"/>
    <w:rsid w:val="003D0E30"/>
    <w:rsid w:val="003D366A"/>
    <w:rsid w:val="003D4169"/>
    <w:rsid w:val="003D4CF3"/>
    <w:rsid w:val="003D6795"/>
    <w:rsid w:val="003D78E4"/>
    <w:rsid w:val="003E037A"/>
    <w:rsid w:val="003E0C41"/>
    <w:rsid w:val="003E0F79"/>
    <w:rsid w:val="003E3636"/>
    <w:rsid w:val="003E5857"/>
    <w:rsid w:val="003E5DF8"/>
    <w:rsid w:val="003E70D5"/>
    <w:rsid w:val="003E79F4"/>
    <w:rsid w:val="003E7C4D"/>
    <w:rsid w:val="003F0C04"/>
    <w:rsid w:val="003F2488"/>
    <w:rsid w:val="003F28EC"/>
    <w:rsid w:val="003F299D"/>
    <w:rsid w:val="003F62CA"/>
    <w:rsid w:val="00401FBD"/>
    <w:rsid w:val="00405877"/>
    <w:rsid w:val="00406FE6"/>
    <w:rsid w:val="00410AAA"/>
    <w:rsid w:val="00410B7A"/>
    <w:rsid w:val="00410D11"/>
    <w:rsid w:val="00411185"/>
    <w:rsid w:val="0041178E"/>
    <w:rsid w:val="00411ABA"/>
    <w:rsid w:val="004122C0"/>
    <w:rsid w:val="00412C93"/>
    <w:rsid w:val="00413235"/>
    <w:rsid w:val="0041457D"/>
    <w:rsid w:val="0041639C"/>
    <w:rsid w:val="0042056B"/>
    <w:rsid w:val="00420BAD"/>
    <w:rsid w:val="0042123F"/>
    <w:rsid w:val="004236E9"/>
    <w:rsid w:val="004266F2"/>
    <w:rsid w:val="0043015F"/>
    <w:rsid w:val="00430EA0"/>
    <w:rsid w:val="00432757"/>
    <w:rsid w:val="00432D6B"/>
    <w:rsid w:val="00435506"/>
    <w:rsid w:val="004405D9"/>
    <w:rsid w:val="00442BE9"/>
    <w:rsid w:val="004458D7"/>
    <w:rsid w:val="00447F40"/>
    <w:rsid w:val="00450A9C"/>
    <w:rsid w:val="00450CEE"/>
    <w:rsid w:val="00451E65"/>
    <w:rsid w:val="00452F32"/>
    <w:rsid w:val="004558A6"/>
    <w:rsid w:val="00455E98"/>
    <w:rsid w:val="004562C5"/>
    <w:rsid w:val="0046193E"/>
    <w:rsid w:val="00462776"/>
    <w:rsid w:val="00464CE4"/>
    <w:rsid w:val="0046544B"/>
    <w:rsid w:val="00465564"/>
    <w:rsid w:val="00465F1A"/>
    <w:rsid w:val="0046778E"/>
    <w:rsid w:val="00467936"/>
    <w:rsid w:val="004756D6"/>
    <w:rsid w:val="00475AF3"/>
    <w:rsid w:val="0047687C"/>
    <w:rsid w:val="00483397"/>
    <w:rsid w:val="0048360E"/>
    <w:rsid w:val="00483AE5"/>
    <w:rsid w:val="00483F1C"/>
    <w:rsid w:val="00486FB8"/>
    <w:rsid w:val="00487E84"/>
    <w:rsid w:val="0049082A"/>
    <w:rsid w:val="00491252"/>
    <w:rsid w:val="0049198E"/>
    <w:rsid w:val="00493017"/>
    <w:rsid w:val="00493908"/>
    <w:rsid w:val="00493EFA"/>
    <w:rsid w:val="00494E06"/>
    <w:rsid w:val="00495656"/>
    <w:rsid w:val="004963A3"/>
    <w:rsid w:val="004976AA"/>
    <w:rsid w:val="004A08D1"/>
    <w:rsid w:val="004A0E4D"/>
    <w:rsid w:val="004A13F4"/>
    <w:rsid w:val="004A16AD"/>
    <w:rsid w:val="004A1995"/>
    <w:rsid w:val="004A1A3A"/>
    <w:rsid w:val="004A2366"/>
    <w:rsid w:val="004A27DC"/>
    <w:rsid w:val="004A3D35"/>
    <w:rsid w:val="004A5C46"/>
    <w:rsid w:val="004A6BB0"/>
    <w:rsid w:val="004A70C9"/>
    <w:rsid w:val="004A761A"/>
    <w:rsid w:val="004B01FE"/>
    <w:rsid w:val="004B18C6"/>
    <w:rsid w:val="004B3190"/>
    <w:rsid w:val="004B32D3"/>
    <w:rsid w:val="004B350E"/>
    <w:rsid w:val="004B3767"/>
    <w:rsid w:val="004B3FEA"/>
    <w:rsid w:val="004B588B"/>
    <w:rsid w:val="004C05D3"/>
    <w:rsid w:val="004C07EC"/>
    <w:rsid w:val="004C1474"/>
    <w:rsid w:val="004C258D"/>
    <w:rsid w:val="004C3459"/>
    <w:rsid w:val="004C3499"/>
    <w:rsid w:val="004C3762"/>
    <w:rsid w:val="004C4F64"/>
    <w:rsid w:val="004C5436"/>
    <w:rsid w:val="004C584B"/>
    <w:rsid w:val="004C67CC"/>
    <w:rsid w:val="004C6B33"/>
    <w:rsid w:val="004C7212"/>
    <w:rsid w:val="004D0938"/>
    <w:rsid w:val="004D1AFE"/>
    <w:rsid w:val="004D1B5D"/>
    <w:rsid w:val="004D1C60"/>
    <w:rsid w:val="004D3173"/>
    <w:rsid w:val="004D3496"/>
    <w:rsid w:val="004D6E2D"/>
    <w:rsid w:val="004E07BD"/>
    <w:rsid w:val="004E1803"/>
    <w:rsid w:val="004E1C85"/>
    <w:rsid w:val="004E4781"/>
    <w:rsid w:val="004E70C5"/>
    <w:rsid w:val="004E7CD9"/>
    <w:rsid w:val="004F1CBB"/>
    <w:rsid w:val="004F4112"/>
    <w:rsid w:val="004F7B23"/>
    <w:rsid w:val="005002FC"/>
    <w:rsid w:val="005007EC"/>
    <w:rsid w:val="00501B20"/>
    <w:rsid w:val="00501D57"/>
    <w:rsid w:val="00502457"/>
    <w:rsid w:val="00503588"/>
    <w:rsid w:val="00503B76"/>
    <w:rsid w:val="005040D5"/>
    <w:rsid w:val="00504984"/>
    <w:rsid w:val="0050564A"/>
    <w:rsid w:val="0050564B"/>
    <w:rsid w:val="00505863"/>
    <w:rsid w:val="00505965"/>
    <w:rsid w:val="00505E7D"/>
    <w:rsid w:val="00505E8E"/>
    <w:rsid w:val="005063FB"/>
    <w:rsid w:val="005108DF"/>
    <w:rsid w:val="00511782"/>
    <w:rsid w:val="005128BF"/>
    <w:rsid w:val="00513CBD"/>
    <w:rsid w:val="00514AE6"/>
    <w:rsid w:val="00514B40"/>
    <w:rsid w:val="00514D16"/>
    <w:rsid w:val="00514D94"/>
    <w:rsid w:val="00515A0A"/>
    <w:rsid w:val="0051750B"/>
    <w:rsid w:val="00517E88"/>
    <w:rsid w:val="00521145"/>
    <w:rsid w:val="005227D8"/>
    <w:rsid w:val="00523E20"/>
    <w:rsid w:val="00524284"/>
    <w:rsid w:val="005259D2"/>
    <w:rsid w:val="00526125"/>
    <w:rsid w:val="00526F0B"/>
    <w:rsid w:val="00527312"/>
    <w:rsid w:val="005304D7"/>
    <w:rsid w:val="00531F10"/>
    <w:rsid w:val="00535E9C"/>
    <w:rsid w:val="00535FED"/>
    <w:rsid w:val="00536E66"/>
    <w:rsid w:val="00537009"/>
    <w:rsid w:val="005378DB"/>
    <w:rsid w:val="00537DB9"/>
    <w:rsid w:val="00537F49"/>
    <w:rsid w:val="00537F7B"/>
    <w:rsid w:val="005408D5"/>
    <w:rsid w:val="0054289C"/>
    <w:rsid w:val="00542AE3"/>
    <w:rsid w:val="00542F2D"/>
    <w:rsid w:val="00545982"/>
    <w:rsid w:val="00545B2D"/>
    <w:rsid w:val="00547319"/>
    <w:rsid w:val="00547FA9"/>
    <w:rsid w:val="005518A7"/>
    <w:rsid w:val="00552C17"/>
    <w:rsid w:val="00554075"/>
    <w:rsid w:val="00554EBC"/>
    <w:rsid w:val="00561E8B"/>
    <w:rsid w:val="00562905"/>
    <w:rsid w:val="00562CF0"/>
    <w:rsid w:val="005635E0"/>
    <w:rsid w:val="00564497"/>
    <w:rsid w:val="00566889"/>
    <w:rsid w:val="00567C60"/>
    <w:rsid w:val="00571D67"/>
    <w:rsid w:val="005730FB"/>
    <w:rsid w:val="00574DC5"/>
    <w:rsid w:val="005758C9"/>
    <w:rsid w:val="00575E21"/>
    <w:rsid w:val="0057685B"/>
    <w:rsid w:val="0057710A"/>
    <w:rsid w:val="00577942"/>
    <w:rsid w:val="00577A8E"/>
    <w:rsid w:val="00577DB7"/>
    <w:rsid w:val="00582C08"/>
    <w:rsid w:val="00582CD9"/>
    <w:rsid w:val="00585B34"/>
    <w:rsid w:val="00586E87"/>
    <w:rsid w:val="005907C8"/>
    <w:rsid w:val="00590AEC"/>
    <w:rsid w:val="00590D4E"/>
    <w:rsid w:val="00592ADC"/>
    <w:rsid w:val="00594C32"/>
    <w:rsid w:val="005957BE"/>
    <w:rsid w:val="00597739"/>
    <w:rsid w:val="005A085C"/>
    <w:rsid w:val="005A0BE8"/>
    <w:rsid w:val="005A2024"/>
    <w:rsid w:val="005A20FD"/>
    <w:rsid w:val="005A5BE8"/>
    <w:rsid w:val="005A5D32"/>
    <w:rsid w:val="005A6F09"/>
    <w:rsid w:val="005A79FD"/>
    <w:rsid w:val="005B0726"/>
    <w:rsid w:val="005B312E"/>
    <w:rsid w:val="005B3AEF"/>
    <w:rsid w:val="005B4C39"/>
    <w:rsid w:val="005B4C64"/>
    <w:rsid w:val="005B65B5"/>
    <w:rsid w:val="005B7DEC"/>
    <w:rsid w:val="005C0214"/>
    <w:rsid w:val="005C2254"/>
    <w:rsid w:val="005C2E68"/>
    <w:rsid w:val="005C4A5F"/>
    <w:rsid w:val="005C5EA7"/>
    <w:rsid w:val="005C630E"/>
    <w:rsid w:val="005C7AF4"/>
    <w:rsid w:val="005D1721"/>
    <w:rsid w:val="005D3946"/>
    <w:rsid w:val="005D3ADE"/>
    <w:rsid w:val="005D3C4B"/>
    <w:rsid w:val="005D4145"/>
    <w:rsid w:val="005D4B7C"/>
    <w:rsid w:val="005D696F"/>
    <w:rsid w:val="005D6E50"/>
    <w:rsid w:val="005E0E1C"/>
    <w:rsid w:val="005E3B5E"/>
    <w:rsid w:val="005E5537"/>
    <w:rsid w:val="005E6495"/>
    <w:rsid w:val="005F0828"/>
    <w:rsid w:val="005F1833"/>
    <w:rsid w:val="005F45E1"/>
    <w:rsid w:val="00601ADA"/>
    <w:rsid w:val="0060206C"/>
    <w:rsid w:val="00602DF7"/>
    <w:rsid w:val="00602FD5"/>
    <w:rsid w:val="006032B4"/>
    <w:rsid w:val="006034E2"/>
    <w:rsid w:val="006037E4"/>
    <w:rsid w:val="00603B0A"/>
    <w:rsid w:val="006040A5"/>
    <w:rsid w:val="00604F5F"/>
    <w:rsid w:val="006057D4"/>
    <w:rsid w:val="0060582C"/>
    <w:rsid w:val="00607B63"/>
    <w:rsid w:val="00607E63"/>
    <w:rsid w:val="00607FA9"/>
    <w:rsid w:val="00611087"/>
    <w:rsid w:val="00612F08"/>
    <w:rsid w:val="006133BD"/>
    <w:rsid w:val="006141F2"/>
    <w:rsid w:val="006156DC"/>
    <w:rsid w:val="00616ADF"/>
    <w:rsid w:val="006218A3"/>
    <w:rsid w:val="00623A64"/>
    <w:rsid w:val="00623C40"/>
    <w:rsid w:val="00623F66"/>
    <w:rsid w:val="00624465"/>
    <w:rsid w:val="006248DA"/>
    <w:rsid w:val="00625B75"/>
    <w:rsid w:val="00626404"/>
    <w:rsid w:val="00626671"/>
    <w:rsid w:val="00626BA9"/>
    <w:rsid w:val="00626C5D"/>
    <w:rsid w:val="0062797B"/>
    <w:rsid w:val="00627AC7"/>
    <w:rsid w:val="00631829"/>
    <w:rsid w:val="0063190F"/>
    <w:rsid w:val="0063208A"/>
    <w:rsid w:val="00632285"/>
    <w:rsid w:val="0063280F"/>
    <w:rsid w:val="006329FC"/>
    <w:rsid w:val="00633C0C"/>
    <w:rsid w:val="00634914"/>
    <w:rsid w:val="00634DFD"/>
    <w:rsid w:val="00635D0C"/>
    <w:rsid w:val="00635FC3"/>
    <w:rsid w:val="00636D3D"/>
    <w:rsid w:val="00642199"/>
    <w:rsid w:val="00643022"/>
    <w:rsid w:val="00645021"/>
    <w:rsid w:val="006450EA"/>
    <w:rsid w:val="00646C40"/>
    <w:rsid w:val="00647506"/>
    <w:rsid w:val="00651F6D"/>
    <w:rsid w:val="0065364A"/>
    <w:rsid w:val="00653926"/>
    <w:rsid w:val="00653C0F"/>
    <w:rsid w:val="00653F7D"/>
    <w:rsid w:val="006556F2"/>
    <w:rsid w:val="00660E9A"/>
    <w:rsid w:val="0066217D"/>
    <w:rsid w:val="006668BE"/>
    <w:rsid w:val="0066781B"/>
    <w:rsid w:val="00670576"/>
    <w:rsid w:val="00674DF8"/>
    <w:rsid w:val="00675F2F"/>
    <w:rsid w:val="00676C1C"/>
    <w:rsid w:val="00681959"/>
    <w:rsid w:val="00682A95"/>
    <w:rsid w:val="00684690"/>
    <w:rsid w:val="00684AA7"/>
    <w:rsid w:val="00684FE2"/>
    <w:rsid w:val="00685072"/>
    <w:rsid w:val="00685D02"/>
    <w:rsid w:val="00690485"/>
    <w:rsid w:val="00690DD3"/>
    <w:rsid w:val="00690E5E"/>
    <w:rsid w:val="00691E5F"/>
    <w:rsid w:val="006920E6"/>
    <w:rsid w:val="00694ECB"/>
    <w:rsid w:val="00695A4A"/>
    <w:rsid w:val="00696BAF"/>
    <w:rsid w:val="00697746"/>
    <w:rsid w:val="006977C6"/>
    <w:rsid w:val="006A05D0"/>
    <w:rsid w:val="006A0FF2"/>
    <w:rsid w:val="006A33C2"/>
    <w:rsid w:val="006A5FE9"/>
    <w:rsid w:val="006A64D9"/>
    <w:rsid w:val="006A68F7"/>
    <w:rsid w:val="006A6FE3"/>
    <w:rsid w:val="006B26B2"/>
    <w:rsid w:val="006B6DC3"/>
    <w:rsid w:val="006C006B"/>
    <w:rsid w:val="006C184F"/>
    <w:rsid w:val="006C2603"/>
    <w:rsid w:val="006C325C"/>
    <w:rsid w:val="006C47DC"/>
    <w:rsid w:val="006C4A3C"/>
    <w:rsid w:val="006C4B87"/>
    <w:rsid w:val="006C59E3"/>
    <w:rsid w:val="006C694B"/>
    <w:rsid w:val="006C6C93"/>
    <w:rsid w:val="006D078E"/>
    <w:rsid w:val="006D1968"/>
    <w:rsid w:val="006D2DE9"/>
    <w:rsid w:val="006D2E82"/>
    <w:rsid w:val="006D330C"/>
    <w:rsid w:val="006D5559"/>
    <w:rsid w:val="006D5E39"/>
    <w:rsid w:val="006D6005"/>
    <w:rsid w:val="006D66A0"/>
    <w:rsid w:val="006D73DB"/>
    <w:rsid w:val="006E0EDB"/>
    <w:rsid w:val="006E120D"/>
    <w:rsid w:val="006E1883"/>
    <w:rsid w:val="006E1A41"/>
    <w:rsid w:val="006E2C6A"/>
    <w:rsid w:val="006E2E96"/>
    <w:rsid w:val="006E3B1F"/>
    <w:rsid w:val="006E3EC7"/>
    <w:rsid w:val="006E43E9"/>
    <w:rsid w:val="006E5C89"/>
    <w:rsid w:val="006E74DC"/>
    <w:rsid w:val="006E7628"/>
    <w:rsid w:val="006E7AC2"/>
    <w:rsid w:val="006E7E96"/>
    <w:rsid w:val="006F02A7"/>
    <w:rsid w:val="006F0CDE"/>
    <w:rsid w:val="006F1A88"/>
    <w:rsid w:val="006F258B"/>
    <w:rsid w:val="006F3353"/>
    <w:rsid w:val="006F3E87"/>
    <w:rsid w:val="006F4A99"/>
    <w:rsid w:val="006F58EB"/>
    <w:rsid w:val="006F633B"/>
    <w:rsid w:val="006F70E4"/>
    <w:rsid w:val="006F717D"/>
    <w:rsid w:val="00700E56"/>
    <w:rsid w:val="00702DF2"/>
    <w:rsid w:val="007036E5"/>
    <w:rsid w:val="007042FD"/>
    <w:rsid w:val="007047FE"/>
    <w:rsid w:val="007073A6"/>
    <w:rsid w:val="0070788D"/>
    <w:rsid w:val="00707D71"/>
    <w:rsid w:val="0071263C"/>
    <w:rsid w:val="0071294D"/>
    <w:rsid w:val="00712CA4"/>
    <w:rsid w:val="00713719"/>
    <w:rsid w:val="00713DC6"/>
    <w:rsid w:val="007167A3"/>
    <w:rsid w:val="00717991"/>
    <w:rsid w:val="00720C08"/>
    <w:rsid w:val="0072182F"/>
    <w:rsid w:val="0072223D"/>
    <w:rsid w:val="00722579"/>
    <w:rsid w:val="00724F19"/>
    <w:rsid w:val="00727AA5"/>
    <w:rsid w:val="007323CF"/>
    <w:rsid w:val="0073359F"/>
    <w:rsid w:val="00733C7D"/>
    <w:rsid w:val="00734564"/>
    <w:rsid w:val="00734D10"/>
    <w:rsid w:val="00737929"/>
    <w:rsid w:val="00743038"/>
    <w:rsid w:val="0074308A"/>
    <w:rsid w:val="00743B3E"/>
    <w:rsid w:val="00744233"/>
    <w:rsid w:val="00745D8F"/>
    <w:rsid w:val="00746765"/>
    <w:rsid w:val="00750B68"/>
    <w:rsid w:val="007517F0"/>
    <w:rsid w:val="00751B91"/>
    <w:rsid w:val="0075246F"/>
    <w:rsid w:val="00752983"/>
    <w:rsid w:val="00753DAA"/>
    <w:rsid w:val="00754F9B"/>
    <w:rsid w:val="0075627A"/>
    <w:rsid w:val="007566FD"/>
    <w:rsid w:val="00757A86"/>
    <w:rsid w:val="00757BD4"/>
    <w:rsid w:val="00757EA9"/>
    <w:rsid w:val="00760F1E"/>
    <w:rsid w:val="0076141D"/>
    <w:rsid w:val="0076254A"/>
    <w:rsid w:val="007626EA"/>
    <w:rsid w:val="00765454"/>
    <w:rsid w:val="007658D5"/>
    <w:rsid w:val="0076775F"/>
    <w:rsid w:val="00767B0B"/>
    <w:rsid w:val="00767E41"/>
    <w:rsid w:val="00770C7F"/>
    <w:rsid w:val="00770FF0"/>
    <w:rsid w:val="00773249"/>
    <w:rsid w:val="00777B0E"/>
    <w:rsid w:val="00777E65"/>
    <w:rsid w:val="0078044E"/>
    <w:rsid w:val="007804E3"/>
    <w:rsid w:val="0078312D"/>
    <w:rsid w:val="00783A32"/>
    <w:rsid w:val="00784741"/>
    <w:rsid w:val="0078497E"/>
    <w:rsid w:val="007864FC"/>
    <w:rsid w:val="00787769"/>
    <w:rsid w:val="00787CA2"/>
    <w:rsid w:val="0079002F"/>
    <w:rsid w:val="00791ACC"/>
    <w:rsid w:val="00791FB9"/>
    <w:rsid w:val="007921DA"/>
    <w:rsid w:val="00792FAB"/>
    <w:rsid w:val="007962AC"/>
    <w:rsid w:val="00796E1C"/>
    <w:rsid w:val="0079789E"/>
    <w:rsid w:val="007A01A0"/>
    <w:rsid w:val="007A2033"/>
    <w:rsid w:val="007A25A2"/>
    <w:rsid w:val="007A275F"/>
    <w:rsid w:val="007A30A7"/>
    <w:rsid w:val="007A3531"/>
    <w:rsid w:val="007A4BEB"/>
    <w:rsid w:val="007A653A"/>
    <w:rsid w:val="007A66F4"/>
    <w:rsid w:val="007A6F1C"/>
    <w:rsid w:val="007A743B"/>
    <w:rsid w:val="007A743C"/>
    <w:rsid w:val="007B10F9"/>
    <w:rsid w:val="007B1D94"/>
    <w:rsid w:val="007B27BD"/>
    <w:rsid w:val="007B30C7"/>
    <w:rsid w:val="007B64CD"/>
    <w:rsid w:val="007B6A04"/>
    <w:rsid w:val="007B7EE0"/>
    <w:rsid w:val="007C308E"/>
    <w:rsid w:val="007C67F9"/>
    <w:rsid w:val="007C6909"/>
    <w:rsid w:val="007C6F4B"/>
    <w:rsid w:val="007C730F"/>
    <w:rsid w:val="007D21BA"/>
    <w:rsid w:val="007D22F0"/>
    <w:rsid w:val="007D2E0F"/>
    <w:rsid w:val="007D3F97"/>
    <w:rsid w:val="007D6AC4"/>
    <w:rsid w:val="007D7C42"/>
    <w:rsid w:val="007E209E"/>
    <w:rsid w:val="007E53A1"/>
    <w:rsid w:val="007E5924"/>
    <w:rsid w:val="007E5D4D"/>
    <w:rsid w:val="007E62D7"/>
    <w:rsid w:val="007E6AF0"/>
    <w:rsid w:val="007E6DCB"/>
    <w:rsid w:val="007E7401"/>
    <w:rsid w:val="007E7BB6"/>
    <w:rsid w:val="007F0197"/>
    <w:rsid w:val="007F0E1A"/>
    <w:rsid w:val="007F1373"/>
    <w:rsid w:val="007F569F"/>
    <w:rsid w:val="007F573B"/>
    <w:rsid w:val="007F68FE"/>
    <w:rsid w:val="007F732E"/>
    <w:rsid w:val="007F7850"/>
    <w:rsid w:val="008001FB"/>
    <w:rsid w:val="00802198"/>
    <w:rsid w:val="008024D4"/>
    <w:rsid w:val="008025A5"/>
    <w:rsid w:val="008033C2"/>
    <w:rsid w:val="00805B44"/>
    <w:rsid w:val="00805E37"/>
    <w:rsid w:val="00806152"/>
    <w:rsid w:val="008062F7"/>
    <w:rsid w:val="00807A7D"/>
    <w:rsid w:val="00807E51"/>
    <w:rsid w:val="0081045F"/>
    <w:rsid w:val="00810C88"/>
    <w:rsid w:val="00811729"/>
    <w:rsid w:val="00811DD6"/>
    <w:rsid w:val="00815ABF"/>
    <w:rsid w:val="0081742D"/>
    <w:rsid w:val="00820B7E"/>
    <w:rsid w:val="00821267"/>
    <w:rsid w:val="00821CBC"/>
    <w:rsid w:val="00826E83"/>
    <w:rsid w:val="008301C9"/>
    <w:rsid w:val="008309F7"/>
    <w:rsid w:val="008310EA"/>
    <w:rsid w:val="0083151C"/>
    <w:rsid w:val="00832940"/>
    <w:rsid w:val="0083356A"/>
    <w:rsid w:val="00833900"/>
    <w:rsid w:val="0083580F"/>
    <w:rsid w:val="00835BF2"/>
    <w:rsid w:val="00840FB5"/>
    <w:rsid w:val="008412D5"/>
    <w:rsid w:val="00844FFB"/>
    <w:rsid w:val="008453E2"/>
    <w:rsid w:val="00852266"/>
    <w:rsid w:val="0085397D"/>
    <w:rsid w:val="00853B4A"/>
    <w:rsid w:val="0086177B"/>
    <w:rsid w:val="00862271"/>
    <w:rsid w:val="00862F39"/>
    <w:rsid w:val="00867400"/>
    <w:rsid w:val="0087129A"/>
    <w:rsid w:val="0087239E"/>
    <w:rsid w:val="00872458"/>
    <w:rsid w:val="00872FA1"/>
    <w:rsid w:val="00873685"/>
    <w:rsid w:val="00873EFF"/>
    <w:rsid w:val="00875E6F"/>
    <w:rsid w:val="00877784"/>
    <w:rsid w:val="00880ADE"/>
    <w:rsid w:val="00880E70"/>
    <w:rsid w:val="00880F2A"/>
    <w:rsid w:val="008811C9"/>
    <w:rsid w:val="00881C0B"/>
    <w:rsid w:val="00881D15"/>
    <w:rsid w:val="008837CD"/>
    <w:rsid w:val="00884956"/>
    <w:rsid w:val="008867F3"/>
    <w:rsid w:val="00886EFF"/>
    <w:rsid w:val="00886FBE"/>
    <w:rsid w:val="008878AB"/>
    <w:rsid w:val="00887EFF"/>
    <w:rsid w:val="00890774"/>
    <w:rsid w:val="00890A16"/>
    <w:rsid w:val="0089115C"/>
    <w:rsid w:val="00891CBC"/>
    <w:rsid w:val="00891EE6"/>
    <w:rsid w:val="00893582"/>
    <w:rsid w:val="00895400"/>
    <w:rsid w:val="008959A6"/>
    <w:rsid w:val="00895FC2"/>
    <w:rsid w:val="008962ED"/>
    <w:rsid w:val="008966A9"/>
    <w:rsid w:val="00897D0B"/>
    <w:rsid w:val="008A0496"/>
    <w:rsid w:val="008A1044"/>
    <w:rsid w:val="008A269E"/>
    <w:rsid w:val="008A3100"/>
    <w:rsid w:val="008A3D6B"/>
    <w:rsid w:val="008A47D9"/>
    <w:rsid w:val="008A6E4D"/>
    <w:rsid w:val="008A7882"/>
    <w:rsid w:val="008A7D19"/>
    <w:rsid w:val="008B0BB4"/>
    <w:rsid w:val="008B0C6A"/>
    <w:rsid w:val="008B0FDD"/>
    <w:rsid w:val="008B1DAB"/>
    <w:rsid w:val="008B24AD"/>
    <w:rsid w:val="008B27EB"/>
    <w:rsid w:val="008B374E"/>
    <w:rsid w:val="008B4070"/>
    <w:rsid w:val="008B6000"/>
    <w:rsid w:val="008B76F3"/>
    <w:rsid w:val="008C0E0F"/>
    <w:rsid w:val="008C15DC"/>
    <w:rsid w:val="008C2817"/>
    <w:rsid w:val="008C2ED8"/>
    <w:rsid w:val="008C3FD4"/>
    <w:rsid w:val="008C4FA1"/>
    <w:rsid w:val="008C54E7"/>
    <w:rsid w:val="008C5534"/>
    <w:rsid w:val="008C5586"/>
    <w:rsid w:val="008C5B97"/>
    <w:rsid w:val="008C6013"/>
    <w:rsid w:val="008C6D49"/>
    <w:rsid w:val="008C7072"/>
    <w:rsid w:val="008C7FFC"/>
    <w:rsid w:val="008D3537"/>
    <w:rsid w:val="008D39CA"/>
    <w:rsid w:val="008D3C88"/>
    <w:rsid w:val="008D449B"/>
    <w:rsid w:val="008D49D3"/>
    <w:rsid w:val="008D4DC5"/>
    <w:rsid w:val="008D6025"/>
    <w:rsid w:val="008D7214"/>
    <w:rsid w:val="008D7679"/>
    <w:rsid w:val="008E2198"/>
    <w:rsid w:val="008E2C34"/>
    <w:rsid w:val="008E3030"/>
    <w:rsid w:val="008E35E7"/>
    <w:rsid w:val="008E3A23"/>
    <w:rsid w:val="008E4606"/>
    <w:rsid w:val="008E5258"/>
    <w:rsid w:val="008F01B4"/>
    <w:rsid w:val="008F1E8F"/>
    <w:rsid w:val="008F3064"/>
    <w:rsid w:val="008F3846"/>
    <w:rsid w:val="008F40FC"/>
    <w:rsid w:val="008F6288"/>
    <w:rsid w:val="008F6F45"/>
    <w:rsid w:val="008F704F"/>
    <w:rsid w:val="008F7AFC"/>
    <w:rsid w:val="009000E9"/>
    <w:rsid w:val="00901394"/>
    <w:rsid w:val="00902192"/>
    <w:rsid w:val="00902BAA"/>
    <w:rsid w:val="00902E55"/>
    <w:rsid w:val="00904DF2"/>
    <w:rsid w:val="0090655D"/>
    <w:rsid w:val="00907C1E"/>
    <w:rsid w:val="00911774"/>
    <w:rsid w:val="00911D1A"/>
    <w:rsid w:val="00911DF1"/>
    <w:rsid w:val="009126FF"/>
    <w:rsid w:val="00912E50"/>
    <w:rsid w:val="00915229"/>
    <w:rsid w:val="00915F41"/>
    <w:rsid w:val="009169CB"/>
    <w:rsid w:val="00922AFF"/>
    <w:rsid w:val="00922C5E"/>
    <w:rsid w:val="00923048"/>
    <w:rsid w:val="00924C50"/>
    <w:rsid w:val="00925E6F"/>
    <w:rsid w:val="009270BD"/>
    <w:rsid w:val="00931401"/>
    <w:rsid w:val="009320EB"/>
    <w:rsid w:val="00933C89"/>
    <w:rsid w:val="00935D38"/>
    <w:rsid w:val="009369A8"/>
    <w:rsid w:val="009375D0"/>
    <w:rsid w:val="009413AE"/>
    <w:rsid w:val="009413F5"/>
    <w:rsid w:val="00943884"/>
    <w:rsid w:val="00944C59"/>
    <w:rsid w:val="00945B68"/>
    <w:rsid w:val="00946C6A"/>
    <w:rsid w:val="00947DAB"/>
    <w:rsid w:val="00951387"/>
    <w:rsid w:val="00951B58"/>
    <w:rsid w:val="009543CA"/>
    <w:rsid w:val="0095491A"/>
    <w:rsid w:val="00954BC7"/>
    <w:rsid w:val="009564B1"/>
    <w:rsid w:val="009620C0"/>
    <w:rsid w:val="009658D3"/>
    <w:rsid w:val="00966496"/>
    <w:rsid w:val="00970123"/>
    <w:rsid w:val="00971344"/>
    <w:rsid w:val="00972855"/>
    <w:rsid w:val="00972C27"/>
    <w:rsid w:val="00973338"/>
    <w:rsid w:val="0097388B"/>
    <w:rsid w:val="00973B94"/>
    <w:rsid w:val="0097491D"/>
    <w:rsid w:val="0097707E"/>
    <w:rsid w:val="00980126"/>
    <w:rsid w:val="00982593"/>
    <w:rsid w:val="00982A50"/>
    <w:rsid w:val="00983C9F"/>
    <w:rsid w:val="009857EA"/>
    <w:rsid w:val="00987314"/>
    <w:rsid w:val="0098781A"/>
    <w:rsid w:val="00991256"/>
    <w:rsid w:val="00993974"/>
    <w:rsid w:val="0099494D"/>
    <w:rsid w:val="0099645E"/>
    <w:rsid w:val="0099652B"/>
    <w:rsid w:val="00996AE2"/>
    <w:rsid w:val="009975CA"/>
    <w:rsid w:val="00997803"/>
    <w:rsid w:val="00997CE5"/>
    <w:rsid w:val="009A00E7"/>
    <w:rsid w:val="009A056C"/>
    <w:rsid w:val="009A2935"/>
    <w:rsid w:val="009A45BA"/>
    <w:rsid w:val="009A4D32"/>
    <w:rsid w:val="009A578C"/>
    <w:rsid w:val="009A58D6"/>
    <w:rsid w:val="009A5F22"/>
    <w:rsid w:val="009A67EA"/>
    <w:rsid w:val="009A71AF"/>
    <w:rsid w:val="009B3591"/>
    <w:rsid w:val="009B3C65"/>
    <w:rsid w:val="009B4AD2"/>
    <w:rsid w:val="009B6905"/>
    <w:rsid w:val="009C109F"/>
    <w:rsid w:val="009C6AC6"/>
    <w:rsid w:val="009C7069"/>
    <w:rsid w:val="009D0CAB"/>
    <w:rsid w:val="009D1854"/>
    <w:rsid w:val="009D1CC5"/>
    <w:rsid w:val="009D20B3"/>
    <w:rsid w:val="009D2A33"/>
    <w:rsid w:val="009D5DBB"/>
    <w:rsid w:val="009D606A"/>
    <w:rsid w:val="009D70CF"/>
    <w:rsid w:val="009D7C0C"/>
    <w:rsid w:val="009E070F"/>
    <w:rsid w:val="009E172B"/>
    <w:rsid w:val="009E39B1"/>
    <w:rsid w:val="009E3D8C"/>
    <w:rsid w:val="009E3E71"/>
    <w:rsid w:val="009E3EE7"/>
    <w:rsid w:val="009E4762"/>
    <w:rsid w:val="009E487A"/>
    <w:rsid w:val="009E6130"/>
    <w:rsid w:val="009E70A4"/>
    <w:rsid w:val="009F0337"/>
    <w:rsid w:val="009F0601"/>
    <w:rsid w:val="009F2F7B"/>
    <w:rsid w:val="009F74AC"/>
    <w:rsid w:val="00A00149"/>
    <w:rsid w:val="00A0064F"/>
    <w:rsid w:val="00A029C8"/>
    <w:rsid w:val="00A02BDC"/>
    <w:rsid w:val="00A05B48"/>
    <w:rsid w:val="00A05BE5"/>
    <w:rsid w:val="00A069F7"/>
    <w:rsid w:val="00A06BA1"/>
    <w:rsid w:val="00A101AA"/>
    <w:rsid w:val="00A11554"/>
    <w:rsid w:val="00A12C2D"/>
    <w:rsid w:val="00A13E44"/>
    <w:rsid w:val="00A15682"/>
    <w:rsid w:val="00A15870"/>
    <w:rsid w:val="00A16166"/>
    <w:rsid w:val="00A17DC8"/>
    <w:rsid w:val="00A200C9"/>
    <w:rsid w:val="00A20240"/>
    <w:rsid w:val="00A2298B"/>
    <w:rsid w:val="00A23382"/>
    <w:rsid w:val="00A24840"/>
    <w:rsid w:val="00A24E23"/>
    <w:rsid w:val="00A25132"/>
    <w:rsid w:val="00A254F0"/>
    <w:rsid w:val="00A25820"/>
    <w:rsid w:val="00A261BD"/>
    <w:rsid w:val="00A276A2"/>
    <w:rsid w:val="00A31898"/>
    <w:rsid w:val="00A33DE6"/>
    <w:rsid w:val="00A35669"/>
    <w:rsid w:val="00A362D9"/>
    <w:rsid w:val="00A365DB"/>
    <w:rsid w:val="00A373AA"/>
    <w:rsid w:val="00A41063"/>
    <w:rsid w:val="00A41FF2"/>
    <w:rsid w:val="00A433EE"/>
    <w:rsid w:val="00A44563"/>
    <w:rsid w:val="00A44DCA"/>
    <w:rsid w:val="00A4527B"/>
    <w:rsid w:val="00A45DD8"/>
    <w:rsid w:val="00A51C7F"/>
    <w:rsid w:val="00A51F12"/>
    <w:rsid w:val="00A55150"/>
    <w:rsid w:val="00A55879"/>
    <w:rsid w:val="00A56680"/>
    <w:rsid w:val="00A5709D"/>
    <w:rsid w:val="00A57B8A"/>
    <w:rsid w:val="00A615D2"/>
    <w:rsid w:val="00A61688"/>
    <w:rsid w:val="00A61784"/>
    <w:rsid w:val="00A619C4"/>
    <w:rsid w:val="00A62489"/>
    <w:rsid w:val="00A64E68"/>
    <w:rsid w:val="00A66752"/>
    <w:rsid w:val="00A7062B"/>
    <w:rsid w:val="00A71DC5"/>
    <w:rsid w:val="00A7311C"/>
    <w:rsid w:val="00A737EB"/>
    <w:rsid w:val="00A75511"/>
    <w:rsid w:val="00A7578B"/>
    <w:rsid w:val="00A768A9"/>
    <w:rsid w:val="00A76D19"/>
    <w:rsid w:val="00A77B5B"/>
    <w:rsid w:val="00A806F8"/>
    <w:rsid w:val="00A810E7"/>
    <w:rsid w:val="00A8330E"/>
    <w:rsid w:val="00A84ADC"/>
    <w:rsid w:val="00A861FD"/>
    <w:rsid w:val="00A87D0A"/>
    <w:rsid w:val="00A87F14"/>
    <w:rsid w:val="00A90CC7"/>
    <w:rsid w:val="00A9347E"/>
    <w:rsid w:val="00A95DB0"/>
    <w:rsid w:val="00A96485"/>
    <w:rsid w:val="00A97D41"/>
    <w:rsid w:val="00AA1949"/>
    <w:rsid w:val="00AA20EF"/>
    <w:rsid w:val="00AA219A"/>
    <w:rsid w:val="00AA298F"/>
    <w:rsid w:val="00AA4CBD"/>
    <w:rsid w:val="00AB21D3"/>
    <w:rsid w:val="00AB2BDE"/>
    <w:rsid w:val="00AB2E04"/>
    <w:rsid w:val="00AB2FC7"/>
    <w:rsid w:val="00AB3660"/>
    <w:rsid w:val="00AB48A0"/>
    <w:rsid w:val="00AB4F3A"/>
    <w:rsid w:val="00AB58A5"/>
    <w:rsid w:val="00AB59F8"/>
    <w:rsid w:val="00AB5B13"/>
    <w:rsid w:val="00AB63C1"/>
    <w:rsid w:val="00AB690A"/>
    <w:rsid w:val="00AB6F12"/>
    <w:rsid w:val="00AC0FD8"/>
    <w:rsid w:val="00AC1AE5"/>
    <w:rsid w:val="00AC2C2E"/>
    <w:rsid w:val="00AC3599"/>
    <w:rsid w:val="00AC3711"/>
    <w:rsid w:val="00AC3E66"/>
    <w:rsid w:val="00AC4097"/>
    <w:rsid w:val="00AC55B1"/>
    <w:rsid w:val="00AC611E"/>
    <w:rsid w:val="00AC7028"/>
    <w:rsid w:val="00AD2304"/>
    <w:rsid w:val="00AD3F28"/>
    <w:rsid w:val="00AD4376"/>
    <w:rsid w:val="00AD468C"/>
    <w:rsid w:val="00AD4C71"/>
    <w:rsid w:val="00AD4FA4"/>
    <w:rsid w:val="00AD5F82"/>
    <w:rsid w:val="00AD6561"/>
    <w:rsid w:val="00AD65C9"/>
    <w:rsid w:val="00AD6EF9"/>
    <w:rsid w:val="00AD798D"/>
    <w:rsid w:val="00AE074B"/>
    <w:rsid w:val="00AE0C53"/>
    <w:rsid w:val="00AE12E5"/>
    <w:rsid w:val="00AE2260"/>
    <w:rsid w:val="00AE25E4"/>
    <w:rsid w:val="00AE281F"/>
    <w:rsid w:val="00AE2F65"/>
    <w:rsid w:val="00AE41B7"/>
    <w:rsid w:val="00AE53C8"/>
    <w:rsid w:val="00AE53E8"/>
    <w:rsid w:val="00AE77B1"/>
    <w:rsid w:val="00AE7A63"/>
    <w:rsid w:val="00AF1DD1"/>
    <w:rsid w:val="00AF21ED"/>
    <w:rsid w:val="00AF25C0"/>
    <w:rsid w:val="00AF29BF"/>
    <w:rsid w:val="00AF2F2D"/>
    <w:rsid w:val="00AF4938"/>
    <w:rsid w:val="00AF49CA"/>
    <w:rsid w:val="00AF515A"/>
    <w:rsid w:val="00AF6DA4"/>
    <w:rsid w:val="00AF6F97"/>
    <w:rsid w:val="00B0226F"/>
    <w:rsid w:val="00B030DB"/>
    <w:rsid w:val="00B0554D"/>
    <w:rsid w:val="00B05B9A"/>
    <w:rsid w:val="00B078AA"/>
    <w:rsid w:val="00B10378"/>
    <w:rsid w:val="00B11D81"/>
    <w:rsid w:val="00B129A2"/>
    <w:rsid w:val="00B15153"/>
    <w:rsid w:val="00B15720"/>
    <w:rsid w:val="00B16322"/>
    <w:rsid w:val="00B16BB6"/>
    <w:rsid w:val="00B21948"/>
    <w:rsid w:val="00B219D2"/>
    <w:rsid w:val="00B23D01"/>
    <w:rsid w:val="00B251D1"/>
    <w:rsid w:val="00B305EF"/>
    <w:rsid w:val="00B30B09"/>
    <w:rsid w:val="00B30E23"/>
    <w:rsid w:val="00B30E96"/>
    <w:rsid w:val="00B31004"/>
    <w:rsid w:val="00B31DBF"/>
    <w:rsid w:val="00B33673"/>
    <w:rsid w:val="00B3368B"/>
    <w:rsid w:val="00B344A3"/>
    <w:rsid w:val="00B347C7"/>
    <w:rsid w:val="00B34C7F"/>
    <w:rsid w:val="00B3693D"/>
    <w:rsid w:val="00B40AC1"/>
    <w:rsid w:val="00B4270B"/>
    <w:rsid w:val="00B43247"/>
    <w:rsid w:val="00B43418"/>
    <w:rsid w:val="00B4393F"/>
    <w:rsid w:val="00B44BD5"/>
    <w:rsid w:val="00B46900"/>
    <w:rsid w:val="00B477B7"/>
    <w:rsid w:val="00B47FD8"/>
    <w:rsid w:val="00B5127A"/>
    <w:rsid w:val="00B51A67"/>
    <w:rsid w:val="00B538C3"/>
    <w:rsid w:val="00B53EBB"/>
    <w:rsid w:val="00B54625"/>
    <w:rsid w:val="00B54980"/>
    <w:rsid w:val="00B55E70"/>
    <w:rsid w:val="00B643E2"/>
    <w:rsid w:val="00B64D0E"/>
    <w:rsid w:val="00B655D9"/>
    <w:rsid w:val="00B65E02"/>
    <w:rsid w:val="00B66212"/>
    <w:rsid w:val="00B66981"/>
    <w:rsid w:val="00B66E30"/>
    <w:rsid w:val="00B672C9"/>
    <w:rsid w:val="00B71B24"/>
    <w:rsid w:val="00B726EF"/>
    <w:rsid w:val="00B7394F"/>
    <w:rsid w:val="00B77147"/>
    <w:rsid w:val="00B80C9C"/>
    <w:rsid w:val="00B82709"/>
    <w:rsid w:val="00B82F4C"/>
    <w:rsid w:val="00B83331"/>
    <w:rsid w:val="00B83B87"/>
    <w:rsid w:val="00B849AD"/>
    <w:rsid w:val="00B8517C"/>
    <w:rsid w:val="00B8536B"/>
    <w:rsid w:val="00B854ED"/>
    <w:rsid w:val="00B85E7B"/>
    <w:rsid w:val="00B869D6"/>
    <w:rsid w:val="00B90F81"/>
    <w:rsid w:val="00B90FE6"/>
    <w:rsid w:val="00B91ABA"/>
    <w:rsid w:val="00B944AA"/>
    <w:rsid w:val="00B951CE"/>
    <w:rsid w:val="00B95AAE"/>
    <w:rsid w:val="00BA13FB"/>
    <w:rsid w:val="00BA175C"/>
    <w:rsid w:val="00BA18ED"/>
    <w:rsid w:val="00BA192A"/>
    <w:rsid w:val="00BA2381"/>
    <w:rsid w:val="00BA299B"/>
    <w:rsid w:val="00BA38B1"/>
    <w:rsid w:val="00BA5715"/>
    <w:rsid w:val="00BA5C9D"/>
    <w:rsid w:val="00BA62B4"/>
    <w:rsid w:val="00BA7DB2"/>
    <w:rsid w:val="00BA7FC8"/>
    <w:rsid w:val="00BB0986"/>
    <w:rsid w:val="00BB1C36"/>
    <w:rsid w:val="00BB2727"/>
    <w:rsid w:val="00BB2839"/>
    <w:rsid w:val="00BB4082"/>
    <w:rsid w:val="00BB42D1"/>
    <w:rsid w:val="00BB69EA"/>
    <w:rsid w:val="00BB7E93"/>
    <w:rsid w:val="00BC079E"/>
    <w:rsid w:val="00BC1242"/>
    <w:rsid w:val="00BC174B"/>
    <w:rsid w:val="00BC18C3"/>
    <w:rsid w:val="00BC1C7D"/>
    <w:rsid w:val="00BC230F"/>
    <w:rsid w:val="00BC315F"/>
    <w:rsid w:val="00BC331B"/>
    <w:rsid w:val="00BC35DD"/>
    <w:rsid w:val="00BC5625"/>
    <w:rsid w:val="00BC5F97"/>
    <w:rsid w:val="00BC7458"/>
    <w:rsid w:val="00BC7DCD"/>
    <w:rsid w:val="00BD120B"/>
    <w:rsid w:val="00BD4E71"/>
    <w:rsid w:val="00BD586C"/>
    <w:rsid w:val="00BD79D3"/>
    <w:rsid w:val="00BD7B24"/>
    <w:rsid w:val="00BE02B1"/>
    <w:rsid w:val="00BE0CEF"/>
    <w:rsid w:val="00BE14D3"/>
    <w:rsid w:val="00BE5166"/>
    <w:rsid w:val="00BE59AE"/>
    <w:rsid w:val="00BE6090"/>
    <w:rsid w:val="00BE7D56"/>
    <w:rsid w:val="00BF0263"/>
    <w:rsid w:val="00BF0833"/>
    <w:rsid w:val="00BF0F65"/>
    <w:rsid w:val="00BF1079"/>
    <w:rsid w:val="00BF1132"/>
    <w:rsid w:val="00BF228A"/>
    <w:rsid w:val="00BF2A66"/>
    <w:rsid w:val="00BF4239"/>
    <w:rsid w:val="00BF4C92"/>
    <w:rsid w:val="00BF5549"/>
    <w:rsid w:val="00BF5C0E"/>
    <w:rsid w:val="00BF5D09"/>
    <w:rsid w:val="00BF67CC"/>
    <w:rsid w:val="00BF6E42"/>
    <w:rsid w:val="00BF7399"/>
    <w:rsid w:val="00C013F1"/>
    <w:rsid w:val="00C01FBA"/>
    <w:rsid w:val="00C023AA"/>
    <w:rsid w:val="00C03A03"/>
    <w:rsid w:val="00C0406B"/>
    <w:rsid w:val="00C04384"/>
    <w:rsid w:val="00C0455F"/>
    <w:rsid w:val="00C04AFC"/>
    <w:rsid w:val="00C05E55"/>
    <w:rsid w:val="00C05F09"/>
    <w:rsid w:val="00C0635C"/>
    <w:rsid w:val="00C06AEC"/>
    <w:rsid w:val="00C06AFF"/>
    <w:rsid w:val="00C07B26"/>
    <w:rsid w:val="00C10394"/>
    <w:rsid w:val="00C10832"/>
    <w:rsid w:val="00C135C3"/>
    <w:rsid w:val="00C14416"/>
    <w:rsid w:val="00C145B1"/>
    <w:rsid w:val="00C155DC"/>
    <w:rsid w:val="00C159D7"/>
    <w:rsid w:val="00C16985"/>
    <w:rsid w:val="00C16BB5"/>
    <w:rsid w:val="00C2103E"/>
    <w:rsid w:val="00C23928"/>
    <w:rsid w:val="00C249F1"/>
    <w:rsid w:val="00C24AC1"/>
    <w:rsid w:val="00C24E2B"/>
    <w:rsid w:val="00C25379"/>
    <w:rsid w:val="00C26354"/>
    <w:rsid w:val="00C3110D"/>
    <w:rsid w:val="00C32059"/>
    <w:rsid w:val="00C32FAE"/>
    <w:rsid w:val="00C3366C"/>
    <w:rsid w:val="00C34281"/>
    <w:rsid w:val="00C347D8"/>
    <w:rsid w:val="00C354A6"/>
    <w:rsid w:val="00C354F2"/>
    <w:rsid w:val="00C362D0"/>
    <w:rsid w:val="00C36894"/>
    <w:rsid w:val="00C37CA2"/>
    <w:rsid w:val="00C40214"/>
    <w:rsid w:val="00C426F1"/>
    <w:rsid w:val="00C42873"/>
    <w:rsid w:val="00C428F0"/>
    <w:rsid w:val="00C47C23"/>
    <w:rsid w:val="00C50ECB"/>
    <w:rsid w:val="00C512F5"/>
    <w:rsid w:val="00C51EDE"/>
    <w:rsid w:val="00C51F87"/>
    <w:rsid w:val="00C531E7"/>
    <w:rsid w:val="00C55245"/>
    <w:rsid w:val="00C5578E"/>
    <w:rsid w:val="00C56CF8"/>
    <w:rsid w:val="00C577C0"/>
    <w:rsid w:val="00C57C5A"/>
    <w:rsid w:val="00C618ED"/>
    <w:rsid w:val="00C63458"/>
    <w:rsid w:val="00C63590"/>
    <w:rsid w:val="00C64D87"/>
    <w:rsid w:val="00C70587"/>
    <w:rsid w:val="00C70593"/>
    <w:rsid w:val="00C71063"/>
    <w:rsid w:val="00C713BA"/>
    <w:rsid w:val="00C71433"/>
    <w:rsid w:val="00C7346F"/>
    <w:rsid w:val="00C737B6"/>
    <w:rsid w:val="00C75486"/>
    <w:rsid w:val="00C75AA0"/>
    <w:rsid w:val="00C81514"/>
    <w:rsid w:val="00C827B4"/>
    <w:rsid w:val="00C8332D"/>
    <w:rsid w:val="00C8356E"/>
    <w:rsid w:val="00C86959"/>
    <w:rsid w:val="00C8710C"/>
    <w:rsid w:val="00C87209"/>
    <w:rsid w:val="00C87641"/>
    <w:rsid w:val="00C933FC"/>
    <w:rsid w:val="00C95292"/>
    <w:rsid w:val="00C95996"/>
    <w:rsid w:val="00C95AE1"/>
    <w:rsid w:val="00C95AEF"/>
    <w:rsid w:val="00C9625A"/>
    <w:rsid w:val="00C96453"/>
    <w:rsid w:val="00C96A74"/>
    <w:rsid w:val="00C970E8"/>
    <w:rsid w:val="00C97E4B"/>
    <w:rsid w:val="00C97ECE"/>
    <w:rsid w:val="00CA01FE"/>
    <w:rsid w:val="00CA0355"/>
    <w:rsid w:val="00CA1223"/>
    <w:rsid w:val="00CA21FE"/>
    <w:rsid w:val="00CA24C8"/>
    <w:rsid w:val="00CA3990"/>
    <w:rsid w:val="00CA48E0"/>
    <w:rsid w:val="00CA53E4"/>
    <w:rsid w:val="00CA59B3"/>
    <w:rsid w:val="00CA659B"/>
    <w:rsid w:val="00CA6792"/>
    <w:rsid w:val="00CA7902"/>
    <w:rsid w:val="00CA7C7C"/>
    <w:rsid w:val="00CA7CD0"/>
    <w:rsid w:val="00CB0D98"/>
    <w:rsid w:val="00CB0F1D"/>
    <w:rsid w:val="00CB3430"/>
    <w:rsid w:val="00CB3E21"/>
    <w:rsid w:val="00CB7624"/>
    <w:rsid w:val="00CB7E66"/>
    <w:rsid w:val="00CC0F61"/>
    <w:rsid w:val="00CC176E"/>
    <w:rsid w:val="00CC1CD9"/>
    <w:rsid w:val="00CC355B"/>
    <w:rsid w:val="00CC39F3"/>
    <w:rsid w:val="00CC68EB"/>
    <w:rsid w:val="00CC6DB1"/>
    <w:rsid w:val="00CC7B0C"/>
    <w:rsid w:val="00CD1684"/>
    <w:rsid w:val="00CD1A3C"/>
    <w:rsid w:val="00CD1C5A"/>
    <w:rsid w:val="00CD225B"/>
    <w:rsid w:val="00CD29A4"/>
    <w:rsid w:val="00CD49FF"/>
    <w:rsid w:val="00CD4DD4"/>
    <w:rsid w:val="00CD5926"/>
    <w:rsid w:val="00CD6322"/>
    <w:rsid w:val="00CE09DC"/>
    <w:rsid w:val="00CE1820"/>
    <w:rsid w:val="00CE18D3"/>
    <w:rsid w:val="00CE2DD9"/>
    <w:rsid w:val="00CE2E73"/>
    <w:rsid w:val="00CE3BE9"/>
    <w:rsid w:val="00CE6483"/>
    <w:rsid w:val="00CE6AFD"/>
    <w:rsid w:val="00CE6D99"/>
    <w:rsid w:val="00CF4F40"/>
    <w:rsid w:val="00CF516C"/>
    <w:rsid w:val="00CF53FF"/>
    <w:rsid w:val="00CF55A6"/>
    <w:rsid w:val="00CF6243"/>
    <w:rsid w:val="00D000BD"/>
    <w:rsid w:val="00D00789"/>
    <w:rsid w:val="00D02855"/>
    <w:rsid w:val="00D02A74"/>
    <w:rsid w:val="00D04725"/>
    <w:rsid w:val="00D07C2E"/>
    <w:rsid w:val="00D10063"/>
    <w:rsid w:val="00D1056F"/>
    <w:rsid w:val="00D10982"/>
    <w:rsid w:val="00D10C34"/>
    <w:rsid w:val="00D11CBD"/>
    <w:rsid w:val="00D1423E"/>
    <w:rsid w:val="00D15420"/>
    <w:rsid w:val="00D1648F"/>
    <w:rsid w:val="00D17313"/>
    <w:rsid w:val="00D2029F"/>
    <w:rsid w:val="00D202D5"/>
    <w:rsid w:val="00D205E6"/>
    <w:rsid w:val="00D20F73"/>
    <w:rsid w:val="00D21B3B"/>
    <w:rsid w:val="00D22013"/>
    <w:rsid w:val="00D22E9D"/>
    <w:rsid w:val="00D234F7"/>
    <w:rsid w:val="00D23D79"/>
    <w:rsid w:val="00D243A9"/>
    <w:rsid w:val="00D2478B"/>
    <w:rsid w:val="00D24FDF"/>
    <w:rsid w:val="00D257EA"/>
    <w:rsid w:val="00D25AFE"/>
    <w:rsid w:val="00D25D93"/>
    <w:rsid w:val="00D273A6"/>
    <w:rsid w:val="00D30B4C"/>
    <w:rsid w:val="00D30F96"/>
    <w:rsid w:val="00D31135"/>
    <w:rsid w:val="00D3255D"/>
    <w:rsid w:val="00D33117"/>
    <w:rsid w:val="00D337C0"/>
    <w:rsid w:val="00D3551F"/>
    <w:rsid w:val="00D355FD"/>
    <w:rsid w:val="00D35630"/>
    <w:rsid w:val="00D35E7C"/>
    <w:rsid w:val="00D362E8"/>
    <w:rsid w:val="00D407F4"/>
    <w:rsid w:val="00D432E7"/>
    <w:rsid w:val="00D43890"/>
    <w:rsid w:val="00D4580E"/>
    <w:rsid w:val="00D45AFB"/>
    <w:rsid w:val="00D45B29"/>
    <w:rsid w:val="00D45BCE"/>
    <w:rsid w:val="00D45C34"/>
    <w:rsid w:val="00D45C57"/>
    <w:rsid w:val="00D5077B"/>
    <w:rsid w:val="00D508AA"/>
    <w:rsid w:val="00D515CD"/>
    <w:rsid w:val="00D526AA"/>
    <w:rsid w:val="00D52743"/>
    <w:rsid w:val="00D54117"/>
    <w:rsid w:val="00D565D1"/>
    <w:rsid w:val="00D62751"/>
    <w:rsid w:val="00D62A59"/>
    <w:rsid w:val="00D67E21"/>
    <w:rsid w:val="00D701FF"/>
    <w:rsid w:val="00D719A6"/>
    <w:rsid w:val="00D73382"/>
    <w:rsid w:val="00D73656"/>
    <w:rsid w:val="00D757AB"/>
    <w:rsid w:val="00D76443"/>
    <w:rsid w:val="00D803A2"/>
    <w:rsid w:val="00D8174C"/>
    <w:rsid w:val="00D81DC0"/>
    <w:rsid w:val="00D82138"/>
    <w:rsid w:val="00D82219"/>
    <w:rsid w:val="00D85460"/>
    <w:rsid w:val="00D85A7F"/>
    <w:rsid w:val="00D86060"/>
    <w:rsid w:val="00D8681A"/>
    <w:rsid w:val="00D903E2"/>
    <w:rsid w:val="00D906A0"/>
    <w:rsid w:val="00D90D72"/>
    <w:rsid w:val="00D913DD"/>
    <w:rsid w:val="00D92426"/>
    <w:rsid w:val="00D94399"/>
    <w:rsid w:val="00D94DE7"/>
    <w:rsid w:val="00D963B7"/>
    <w:rsid w:val="00DA114A"/>
    <w:rsid w:val="00DA11DA"/>
    <w:rsid w:val="00DA1FC5"/>
    <w:rsid w:val="00DA2306"/>
    <w:rsid w:val="00DA2D48"/>
    <w:rsid w:val="00DA2D4A"/>
    <w:rsid w:val="00DA3B90"/>
    <w:rsid w:val="00DA4EB7"/>
    <w:rsid w:val="00DA7F63"/>
    <w:rsid w:val="00DB0841"/>
    <w:rsid w:val="00DB180A"/>
    <w:rsid w:val="00DB2311"/>
    <w:rsid w:val="00DB4D5B"/>
    <w:rsid w:val="00DB5B7F"/>
    <w:rsid w:val="00DB62C0"/>
    <w:rsid w:val="00DB64A7"/>
    <w:rsid w:val="00DB6EC0"/>
    <w:rsid w:val="00DB7311"/>
    <w:rsid w:val="00DB77D0"/>
    <w:rsid w:val="00DB7C01"/>
    <w:rsid w:val="00DC0055"/>
    <w:rsid w:val="00DC0108"/>
    <w:rsid w:val="00DC0CB5"/>
    <w:rsid w:val="00DC160C"/>
    <w:rsid w:val="00DC1AFD"/>
    <w:rsid w:val="00DC1E32"/>
    <w:rsid w:val="00DC3332"/>
    <w:rsid w:val="00DC3D13"/>
    <w:rsid w:val="00DC40C0"/>
    <w:rsid w:val="00DC4224"/>
    <w:rsid w:val="00DC47BA"/>
    <w:rsid w:val="00DC61A5"/>
    <w:rsid w:val="00DC6C7A"/>
    <w:rsid w:val="00DC7384"/>
    <w:rsid w:val="00DD0251"/>
    <w:rsid w:val="00DD09B0"/>
    <w:rsid w:val="00DD1159"/>
    <w:rsid w:val="00DD1BC2"/>
    <w:rsid w:val="00DD3464"/>
    <w:rsid w:val="00DD34DA"/>
    <w:rsid w:val="00DD35C0"/>
    <w:rsid w:val="00DD389E"/>
    <w:rsid w:val="00DD40B5"/>
    <w:rsid w:val="00DD4965"/>
    <w:rsid w:val="00DD534E"/>
    <w:rsid w:val="00DD5E45"/>
    <w:rsid w:val="00DD71EE"/>
    <w:rsid w:val="00DE06BC"/>
    <w:rsid w:val="00DE15E0"/>
    <w:rsid w:val="00DE2103"/>
    <w:rsid w:val="00DE4655"/>
    <w:rsid w:val="00DE4B9C"/>
    <w:rsid w:val="00DE63E7"/>
    <w:rsid w:val="00DE6E8D"/>
    <w:rsid w:val="00DF065B"/>
    <w:rsid w:val="00DF1B18"/>
    <w:rsid w:val="00DF1BC6"/>
    <w:rsid w:val="00DF3F1E"/>
    <w:rsid w:val="00DF577D"/>
    <w:rsid w:val="00DF5BD2"/>
    <w:rsid w:val="00DF5CFB"/>
    <w:rsid w:val="00DF62E8"/>
    <w:rsid w:val="00E00227"/>
    <w:rsid w:val="00E01138"/>
    <w:rsid w:val="00E036FC"/>
    <w:rsid w:val="00E03BA5"/>
    <w:rsid w:val="00E05DFD"/>
    <w:rsid w:val="00E06904"/>
    <w:rsid w:val="00E06907"/>
    <w:rsid w:val="00E07E23"/>
    <w:rsid w:val="00E11A80"/>
    <w:rsid w:val="00E12055"/>
    <w:rsid w:val="00E137E4"/>
    <w:rsid w:val="00E13853"/>
    <w:rsid w:val="00E13F2A"/>
    <w:rsid w:val="00E15DD1"/>
    <w:rsid w:val="00E161D3"/>
    <w:rsid w:val="00E1628E"/>
    <w:rsid w:val="00E17120"/>
    <w:rsid w:val="00E171BE"/>
    <w:rsid w:val="00E20BBE"/>
    <w:rsid w:val="00E21E54"/>
    <w:rsid w:val="00E21F15"/>
    <w:rsid w:val="00E22A91"/>
    <w:rsid w:val="00E23031"/>
    <w:rsid w:val="00E233E6"/>
    <w:rsid w:val="00E264C4"/>
    <w:rsid w:val="00E275CE"/>
    <w:rsid w:val="00E27C04"/>
    <w:rsid w:val="00E27E1C"/>
    <w:rsid w:val="00E30E61"/>
    <w:rsid w:val="00E3250A"/>
    <w:rsid w:val="00E32833"/>
    <w:rsid w:val="00E34718"/>
    <w:rsid w:val="00E34BB9"/>
    <w:rsid w:val="00E34D1E"/>
    <w:rsid w:val="00E36628"/>
    <w:rsid w:val="00E36DBC"/>
    <w:rsid w:val="00E378D9"/>
    <w:rsid w:val="00E37EF0"/>
    <w:rsid w:val="00E40352"/>
    <w:rsid w:val="00E4062E"/>
    <w:rsid w:val="00E43EF3"/>
    <w:rsid w:val="00E46F21"/>
    <w:rsid w:val="00E47588"/>
    <w:rsid w:val="00E523A6"/>
    <w:rsid w:val="00E5257A"/>
    <w:rsid w:val="00E53A28"/>
    <w:rsid w:val="00E60830"/>
    <w:rsid w:val="00E60960"/>
    <w:rsid w:val="00E619B0"/>
    <w:rsid w:val="00E61EC8"/>
    <w:rsid w:val="00E621D3"/>
    <w:rsid w:val="00E63E11"/>
    <w:rsid w:val="00E648E5"/>
    <w:rsid w:val="00E64ED1"/>
    <w:rsid w:val="00E65C3D"/>
    <w:rsid w:val="00E67254"/>
    <w:rsid w:val="00E6738A"/>
    <w:rsid w:val="00E67FC2"/>
    <w:rsid w:val="00E71261"/>
    <w:rsid w:val="00E71503"/>
    <w:rsid w:val="00E71BF9"/>
    <w:rsid w:val="00E7215A"/>
    <w:rsid w:val="00E727AA"/>
    <w:rsid w:val="00E736AC"/>
    <w:rsid w:val="00E75E62"/>
    <w:rsid w:val="00E76EBD"/>
    <w:rsid w:val="00E81921"/>
    <w:rsid w:val="00E820FA"/>
    <w:rsid w:val="00E84042"/>
    <w:rsid w:val="00E85C9A"/>
    <w:rsid w:val="00E8794B"/>
    <w:rsid w:val="00E92798"/>
    <w:rsid w:val="00E932A7"/>
    <w:rsid w:val="00E95B3C"/>
    <w:rsid w:val="00E96718"/>
    <w:rsid w:val="00EA0E41"/>
    <w:rsid w:val="00EA265D"/>
    <w:rsid w:val="00EA2662"/>
    <w:rsid w:val="00EA6049"/>
    <w:rsid w:val="00EB158B"/>
    <w:rsid w:val="00EB1958"/>
    <w:rsid w:val="00EB21E5"/>
    <w:rsid w:val="00EB40A2"/>
    <w:rsid w:val="00EB4C13"/>
    <w:rsid w:val="00EB524E"/>
    <w:rsid w:val="00EB5740"/>
    <w:rsid w:val="00EB5B26"/>
    <w:rsid w:val="00EC0560"/>
    <w:rsid w:val="00EC0FCF"/>
    <w:rsid w:val="00EC1199"/>
    <w:rsid w:val="00EC1798"/>
    <w:rsid w:val="00EC2377"/>
    <w:rsid w:val="00EC5B4C"/>
    <w:rsid w:val="00EC6B04"/>
    <w:rsid w:val="00EC777C"/>
    <w:rsid w:val="00ED0AC2"/>
    <w:rsid w:val="00ED2B97"/>
    <w:rsid w:val="00ED4C78"/>
    <w:rsid w:val="00ED7E7E"/>
    <w:rsid w:val="00EE020F"/>
    <w:rsid w:val="00EE18FD"/>
    <w:rsid w:val="00EE1AE8"/>
    <w:rsid w:val="00EE1D35"/>
    <w:rsid w:val="00EE1E30"/>
    <w:rsid w:val="00EE2682"/>
    <w:rsid w:val="00EE2764"/>
    <w:rsid w:val="00EF259D"/>
    <w:rsid w:val="00EF3B5F"/>
    <w:rsid w:val="00EF7D91"/>
    <w:rsid w:val="00F00253"/>
    <w:rsid w:val="00F00A63"/>
    <w:rsid w:val="00F00A9C"/>
    <w:rsid w:val="00F032BB"/>
    <w:rsid w:val="00F051E8"/>
    <w:rsid w:val="00F05785"/>
    <w:rsid w:val="00F10472"/>
    <w:rsid w:val="00F1128F"/>
    <w:rsid w:val="00F11CB0"/>
    <w:rsid w:val="00F1236D"/>
    <w:rsid w:val="00F130C3"/>
    <w:rsid w:val="00F13F83"/>
    <w:rsid w:val="00F14206"/>
    <w:rsid w:val="00F143F1"/>
    <w:rsid w:val="00F152C8"/>
    <w:rsid w:val="00F15355"/>
    <w:rsid w:val="00F15F34"/>
    <w:rsid w:val="00F162C9"/>
    <w:rsid w:val="00F1640B"/>
    <w:rsid w:val="00F1744C"/>
    <w:rsid w:val="00F17DE9"/>
    <w:rsid w:val="00F20595"/>
    <w:rsid w:val="00F2101D"/>
    <w:rsid w:val="00F2364D"/>
    <w:rsid w:val="00F237BF"/>
    <w:rsid w:val="00F24398"/>
    <w:rsid w:val="00F26060"/>
    <w:rsid w:val="00F2650C"/>
    <w:rsid w:val="00F26B18"/>
    <w:rsid w:val="00F26D7A"/>
    <w:rsid w:val="00F2719C"/>
    <w:rsid w:val="00F27A93"/>
    <w:rsid w:val="00F30858"/>
    <w:rsid w:val="00F30E22"/>
    <w:rsid w:val="00F31508"/>
    <w:rsid w:val="00F31D15"/>
    <w:rsid w:val="00F31F80"/>
    <w:rsid w:val="00F338F7"/>
    <w:rsid w:val="00F35AB2"/>
    <w:rsid w:val="00F36CA0"/>
    <w:rsid w:val="00F3758C"/>
    <w:rsid w:val="00F420C5"/>
    <w:rsid w:val="00F42679"/>
    <w:rsid w:val="00F43B19"/>
    <w:rsid w:val="00F44942"/>
    <w:rsid w:val="00F44EB7"/>
    <w:rsid w:val="00F45E2E"/>
    <w:rsid w:val="00F47931"/>
    <w:rsid w:val="00F47E23"/>
    <w:rsid w:val="00F47E6D"/>
    <w:rsid w:val="00F47ECE"/>
    <w:rsid w:val="00F50CED"/>
    <w:rsid w:val="00F51A20"/>
    <w:rsid w:val="00F51B74"/>
    <w:rsid w:val="00F526A6"/>
    <w:rsid w:val="00F52B4A"/>
    <w:rsid w:val="00F5312D"/>
    <w:rsid w:val="00F53564"/>
    <w:rsid w:val="00F568BB"/>
    <w:rsid w:val="00F56ED7"/>
    <w:rsid w:val="00F5769F"/>
    <w:rsid w:val="00F6015B"/>
    <w:rsid w:val="00F60FC8"/>
    <w:rsid w:val="00F61B25"/>
    <w:rsid w:val="00F622E0"/>
    <w:rsid w:val="00F62473"/>
    <w:rsid w:val="00F62E71"/>
    <w:rsid w:val="00F631D5"/>
    <w:rsid w:val="00F642B5"/>
    <w:rsid w:val="00F642FD"/>
    <w:rsid w:val="00F64DEA"/>
    <w:rsid w:val="00F6563B"/>
    <w:rsid w:val="00F668C8"/>
    <w:rsid w:val="00F6756C"/>
    <w:rsid w:val="00F7053C"/>
    <w:rsid w:val="00F716A0"/>
    <w:rsid w:val="00F72A13"/>
    <w:rsid w:val="00F740E9"/>
    <w:rsid w:val="00F74406"/>
    <w:rsid w:val="00F7676D"/>
    <w:rsid w:val="00F77657"/>
    <w:rsid w:val="00F81DF3"/>
    <w:rsid w:val="00F82F60"/>
    <w:rsid w:val="00F83DD3"/>
    <w:rsid w:val="00F84D29"/>
    <w:rsid w:val="00F85AA4"/>
    <w:rsid w:val="00F861F9"/>
    <w:rsid w:val="00F90871"/>
    <w:rsid w:val="00F91FDF"/>
    <w:rsid w:val="00F9289A"/>
    <w:rsid w:val="00F92D1A"/>
    <w:rsid w:val="00F93077"/>
    <w:rsid w:val="00F93965"/>
    <w:rsid w:val="00F94068"/>
    <w:rsid w:val="00F95808"/>
    <w:rsid w:val="00F95E6A"/>
    <w:rsid w:val="00F95FB3"/>
    <w:rsid w:val="00F96C37"/>
    <w:rsid w:val="00F97A8B"/>
    <w:rsid w:val="00FA0157"/>
    <w:rsid w:val="00FA0866"/>
    <w:rsid w:val="00FA0AD6"/>
    <w:rsid w:val="00FA1F41"/>
    <w:rsid w:val="00FA249B"/>
    <w:rsid w:val="00FA3DE6"/>
    <w:rsid w:val="00FA529F"/>
    <w:rsid w:val="00FA6212"/>
    <w:rsid w:val="00FA7351"/>
    <w:rsid w:val="00FB034C"/>
    <w:rsid w:val="00FB6632"/>
    <w:rsid w:val="00FB6E70"/>
    <w:rsid w:val="00FB6F63"/>
    <w:rsid w:val="00FB76BC"/>
    <w:rsid w:val="00FB7766"/>
    <w:rsid w:val="00FC00C2"/>
    <w:rsid w:val="00FC1717"/>
    <w:rsid w:val="00FC3045"/>
    <w:rsid w:val="00FC40FF"/>
    <w:rsid w:val="00FC5393"/>
    <w:rsid w:val="00FC5A85"/>
    <w:rsid w:val="00FC6413"/>
    <w:rsid w:val="00FC77FA"/>
    <w:rsid w:val="00FD009A"/>
    <w:rsid w:val="00FD01FF"/>
    <w:rsid w:val="00FD2F3E"/>
    <w:rsid w:val="00FD3377"/>
    <w:rsid w:val="00FD3B3A"/>
    <w:rsid w:val="00FD64AD"/>
    <w:rsid w:val="00FD76EE"/>
    <w:rsid w:val="00FE2562"/>
    <w:rsid w:val="00FE2F2D"/>
    <w:rsid w:val="00FE4AD7"/>
    <w:rsid w:val="00FE4EB1"/>
    <w:rsid w:val="00FE4F04"/>
    <w:rsid w:val="00FE5271"/>
    <w:rsid w:val="00FE7C52"/>
    <w:rsid w:val="00FE7E6C"/>
    <w:rsid w:val="00FF1E72"/>
    <w:rsid w:val="00FF24C6"/>
    <w:rsid w:val="00FF3C53"/>
    <w:rsid w:val="00FF5006"/>
    <w:rsid w:val="00FF56ED"/>
    <w:rsid w:val="00FF5878"/>
    <w:rsid w:val="00FF5CE1"/>
    <w:rsid w:val="00FF6BAE"/>
    <w:rsid w:val="00FF7A6E"/>
    <w:rsid w:val="00FF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5923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746F47"/>
    <w:rPr>
      <w:sz w:val="24"/>
      <w:szCs w:val="24"/>
      <w:lang w:eastAsia="zh-CN"/>
    </w:rPr>
  </w:style>
  <w:style w:type="paragraph" w:styleId="Heading1">
    <w:name w:val="heading 1"/>
    <w:basedOn w:val="Normal"/>
    <w:next w:val="Normal"/>
    <w:link w:val="Heading1Char"/>
    <w:uiPriority w:val="9"/>
    <w:qFormat/>
    <w:rsid w:val="00E233E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746F47"/>
    <w:pPr>
      <w:spacing w:before="240" w:after="120"/>
      <w:jc w:val="center"/>
      <w:outlineLvl w:val="0"/>
    </w:pPr>
    <w:rPr>
      <w:rFonts w:cs="Arial"/>
      <w:b/>
      <w:bCs/>
      <w:caps/>
      <w:kern w:val="28"/>
      <w:szCs w:val="32"/>
      <w:u w:val="single"/>
    </w:rPr>
  </w:style>
  <w:style w:type="paragraph" w:styleId="BlockText">
    <w:name w:val="Block Text"/>
    <w:aliases w:val="Block Indent"/>
    <w:basedOn w:val="Normal"/>
    <w:rsid w:val="00746F47"/>
    <w:pPr>
      <w:spacing w:before="120" w:after="120"/>
      <w:ind w:left="1440" w:right="1440"/>
    </w:pPr>
  </w:style>
  <w:style w:type="paragraph" w:styleId="BodyText">
    <w:name w:val="Body Text"/>
    <w:basedOn w:val="Normal"/>
    <w:link w:val="BodyTextChar"/>
    <w:rsid w:val="00746F47"/>
    <w:pPr>
      <w:spacing w:before="120" w:after="120"/>
      <w:ind w:firstLine="720"/>
      <w:jc w:val="both"/>
    </w:pPr>
  </w:style>
  <w:style w:type="paragraph" w:styleId="Closing">
    <w:name w:val="Closing"/>
    <w:basedOn w:val="Normal"/>
    <w:rsid w:val="00746F47"/>
    <w:pPr>
      <w:ind w:left="4320"/>
    </w:pPr>
  </w:style>
  <w:style w:type="paragraph" w:styleId="Signature">
    <w:name w:val="Signature"/>
    <w:basedOn w:val="Normal"/>
    <w:rsid w:val="00746F47"/>
    <w:pPr>
      <w:ind w:left="4320"/>
    </w:pPr>
  </w:style>
  <w:style w:type="paragraph" w:styleId="Subtitle">
    <w:name w:val="Subtitle"/>
    <w:basedOn w:val="Normal"/>
    <w:qFormat/>
    <w:rsid w:val="00746F47"/>
    <w:pPr>
      <w:spacing w:before="120" w:after="240"/>
      <w:outlineLvl w:val="1"/>
    </w:pPr>
    <w:rPr>
      <w:rFonts w:cs="Arial"/>
      <w:b/>
    </w:rPr>
  </w:style>
  <w:style w:type="paragraph" w:styleId="EnvelopeAddress">
    <w:name w:val="envelope address"/>
    <w:basedOn w:val="Normal"/>
    <w:rsid w:val="00746F47"/>
    <w:pPr>
      <w:framePr w:w="7920" w:h="1980" w:hRule="exact" w:hSpace="180" w:wrap="auto" w:hAnchor="page" w:xAlign="center" w:yAlign="bottom"/>
      <w:ind w:left="2880"/>
    </w:pPr>
    <w:rPr>
      <w:rFonts w:cs="Arial"/>
    </w:rPr>
  </w:style>
  <w:style w:type="paragraph" w:styleId="EnvelopeReturn">
    <w:name w:val="envelope return"/>
    <w:basedOn w:val="Normal"/>
    <w:rsid w:val="00746F47"/>
    <w:rPr>
      <w:rFonts w:cs="Arial"/>
      <w:sz w:val="20"/>
      <w:szCs w:val="20"/>
    </w:rPr>
  </w:style>
  <w:style w:type="paragraph" w:customStyle="1" w:styleId="BodyTextDSFirstLine10Justified">
    <w:name w:val="Body Text DS First Line (1.0) Justified"/>
    <w:basedOn w:val="Normal"/>
    <w:rsid w:val="00746F47"/>
    <w:pPr>
      <w:spacing w:line="480" w:lineRule="auto"/>
      <w:ind w:firstLine="1440"/>
      <w:jc w:val="both"/>
    </w:pPr>
    <w:rPr>
      <w:lang w:eastAsia="en-US"/>
    </w:rPr>
  </w:style>
  <w:style w:type="paragraph" w:customStyle="1" w:styleId="BodyTextSSFirstLine5Justified">
    <w:name w:val="Body Text SS First Line (.5) Justified"/>
    <w:basedOn w:val="Normal"/>
    <w:rsid w:val="00746F47"/>
    <w:pPr>
      <w:spacing w:before="120" w:after="120"/>
      <w:ind w:firstLine="720"/>
      <w:jc w:val="both"/>
    </w:pPr>
  </w:style>
  <w:style w:type="paragraph" w:customStyle="1" w:styleId="BodyTextDSFirstLine5Justified">
    <w:name w:val="Body Text DS First Line (.5) Justified"/>
    <w:basedOn w:val="Normal"/>
    <w:rsid w:val="00746F47"/>
    <w:pPr>
      <w:spacing w:line="480" w:lineRule="auto"/>
      <w:ind w:firstLine="720"/>
      <w:jc w:val="both"/>
    </w:pPr>
  </w:style>
  <w:style w:type="paragraph" w:customStyle="1" w:styleId="BodyTextDSFirstLine5">
    <w:name w:val="Body Text DS First Line (.5)"/>
    <w:basedOn w:val="Normal"/>
    <w:rsid w:val="00746F47"/>
    <w:pPr>
      <w:spacing w:line="480" w:lineRule="auto"/>
      <w:ind w:firstLine="720"/>
    </w:pPr>
  </w:style>
  <w:style w:type="paragraph" w:customStyle="1" w:styleId="BodyTextDSFirstLine10">
    <w:name w:val="Body Text DS First Line (1.0)"/>
    <w:basedOn w:val="Normal"/>
    <w:rsid w:val="00746F47"/>
    <w:pPr>
      <w:spacing w:line="480" w:lineRule="auto"/>
      <w:ind w:firstLine="1440"/>
    </w:pPr>
  </w:style>
  <w:style w:type="paragraph" w:customStyle="1" w:styleId="BodyTextSSFirstLine5">
    <w:name w:val="Body Text SS First Line (.5 )"/>
    <w:basedOn w:val="Normal"/>
    <w:rsid w:val="00746F47"/>
    <w:pPr>
      <w:spacing w:before="120" w:after="120"/>
      <w:ind w:firstLine="720"/>
    </w:pPr>
  </w:style>
  <w:style w:type="paragraph" w:customStyle="1" w:styleId="BodyTextSSFirstLine10">
    <w:name w:val="Body Text SS First Line (1.0)"/>
    <w:basedOn w:val="Normal"/>
    <w:rsid w:val="00746F47"/>
    <w:pPr>
      <w:spacing w:before="120" w:after="120"/>
      <w:ind w:firstLine="1440"/>
    </w:pPr>
  </w:style>
  <w:style w:type="paragraph" w:customStyle="1" w:styleId="BodyTextSSFirstLine10Justified">
    <w:name w:val="Body Text SS First Line (1.0) Justified"/>
    <w:basedOn w:val="Normal"/>
    <w:rsid w:val="00746F47"/>
    <w:pPr>
      <w:spacing w:before="120" w:after="120"/>
      <w:ind w:firstLine="1440"/>
      <w:jc w:val="both"/>
    </w:pPr>
    <w:rPr>
      <w:lang w:eastAsia="en-US"/>
    </w:rPr>
  </w:style>
  <w:style w:type="paragraph" w:customStyle="1" w:styleId="Heading">
    <w:name w:val="Heading"/>
    <w:basedOn w:val="Normal"/>
    <w:rsid w:val="00746F47"/>
    <w:pPr>
      <w:spacing w:after="240"/>
      <w:jc w:val="center"/>
    </w:pPr>
    <w:rPr>
      <w:b/>
      <w:caps/>
      <w:u w:val="single"/>
    </w:rPr>
  </w:style>
  <w:style w:type="paragraph" w:customStyle="1" w:styleId="BodyTextLevel3">
    <w:name w:val="Body Text Level 3"/>
    <w:basedOn w:val="BodyText"/>
    <w:rsid w:val="00746F47"/>
    <w:pPr>
      <w:ind w:firstLine="2160"/>
    </w:pPr>
  </w:style>
  <w:style w:type="paragraph" w:styleId="Footer">
    <w:name w:val="footer"/>
    <w:basedOn w:val="Normal"/>
    <w:link w:val="FooterChar"/>
    <w:uiPriority w:val="99"/>
    <w:rsid w:val="00746F47"/>
    <w:pPr>
      <w:tabs>
        <w:tab w:val="center" w:pos="4320"/>
        <w:tab w:val="right" w:pos="8640"/>
      </w:tabs>
    </w:pPr>
    <w:rPr>
      <w:sz w:val="20"/>
      <w:szCs w:val="20"/>
      <w:lang w:eastAsia="en-US"/>
    </w:rPr>
  </w:style>
  <w:style w:type="character" w:styleId="PageNumber">
    <w:name w:val="page number"/>
    <w:basedOn w:val="DefaultParagraphFont"/>
    <w:rsid w:val="00746F47"/>
    <w:rPr>
      <w:rFonts w:cs="Times New Roman"/>
    </w:rPr>
  </w:style>
  <w:style w:type="paragraph" w:styleId="Header">
    <w:name w:val="header"/>
    <w:basedOn w:val="Normal"/>
    <w:link w:val="HeaderChar"/>
    <w:uiPriority w:val="99"/>
    <w:rsid w:val="00746F47"/>
    <w:pPr>
      <w:tabs>
        <w:tab w:val="center" w:pos="4320"/>
        <w:tab w:val="right" w:pos="8640"/>
      </w:tabs>
    </w:pPr>
    <w:rPr>
      <w:sz w:val="20"/>
      <w:szCs w:val="20"/>
      <w:lang w:eastAsia="en-US"/>
    </w:rPr>
  </w:style>
  <w:style w:type="paragraph" w:styleId="NormalWeb">
    <w:name w:val="Normal (Web)"/>
    <w:basedOn w:val="Normal"/>
    <w:uiPriority w:val="99"/>
    <w:rsid w:val="00746F47"/>
    <w:pPr>
      <w:spacing w:before="100" w:beforeAutospacing="1" w:after="100" w:afterAutospacing="1"/>
    </w:pPr>
    <w:rPr>
      <w:lang w:eastAsia="en-US"/>
    </w:rPr>
  </w:style>
  <w:style w:type="character" w:styleId="LineNumber">
    <w:name w:val="line number"/>
    <w:basedOn w:val="DefaultParagraphFont"/>
    <w:rsid w:val="00746F47"/>
    <w:rPr>
      <w:rFonts w:cs="Times New Roman"/>
    </w:rPr>
  </w:style>
  <w:style w:type="character" w:customStyle="1" w:styleId="BodyTextChar">
    <w:name w:val="Body Text Char"/>
    <w:basedOn w:val="DefaultParagraphFont"/>
    <w:link w:val="BodyText"/>
    <w:rsid w:val="00746F47"/>
    <w:rPr>
      <w:rFonts w:eastAsia="SimSun" w:cs="Times New Roman"/>
      <w:sz w:val="24"/>
      <w:szCs w:val="24"/>
      <w:lang w:val="en-US" w:eastAsia="zh-CN" w:bidi="ar-SA"/>
    </w:rPr>
  </w:style>
  <w:style w:type="character" w:customStyle="1" w:styleId="Char">
    <w:name w:val="Char"/>
    <w:basedOn w:val="DefaultParagraphFont"/>
    <w:rsid w:val="00746F47"/>
    <w:rPr>
      <w:rFonts w:eastAsia="SimSun" w:cs="Times New Roman"/>
      <w:sz w:val="24"/>
      <w:szCs w:val="24"/>
      <w:lang w:val="en-US" w:eastAsia="zh-CN" w:bidi="ar-SA"/>
    </w:rPr>
  </w:style>
  <w:style w:type="paragraph" w:styleId="BalloonText">
    <w:name w:val="Balloon Text"/>
    <w:basedOn w:val="Normal"/>
    <w:semiHidden/>
    <w:rsid w:val="00746F47"/>
    <w:rPr>
      <w:rFonts w:ascii="Tahoma" w:hAnsi="Tahoma" w:cs="Tahoma"/>
      <w:sz w:val="16"/>
      <w:szCs w:val="16"/>
    </w:rPr>
  </w:style>
  <w:style w:type="character" w:customStyle="1" w:styleId="Char1">
    <w:name w:val="Char1"/>
    <w:basedOn w:val="DefaultParagraphFont"/>
    <w:rsid w:val="00746F47"/>
    <w:rPr>
      <w:rFonts w:eastAsia="SimSun" w:cs="Times New Roman"/>
      <w:sz w:val="24"/>
      <w:szCs w:val="24"/>
      <w:lang w:val="en-US" w:eastAsia="zh-CN" w:bidi="ar-SA"/>
    </w:rPr>
  </w:style>
  <w:style w:type="paragraph" w:styleId="BodyTextIndent">
    <w:name w:val="Body Text Indent"/>
    <w:basedOn w:val="Normal"/>
    <w:rsid w:val="00746F47"/>
    <w:pPr>
      <w:spacing w:after="120"/>
      <w:ind w:left="360"/>
    </w:pPr>
  </w:style>
  <w:style w:type="character" w:customStyle="1" w:styleId="msoins0">
    <w:name w:val="msoins"/>
    <w:basedOn w:val="DefaultParagraphFont"/>
    <w:rsid w:val="00746F47"/>
    <w:rPr>
      <w:rFonts w:cs="Times New Roman"/>
    </w:rPr>
  </w:style>
  <w:style w:type="character" w:styleId="CommentReference">
    <w:name w:val="annotation reference"/>
    <w:basedOn w:val="DefaultParagraphFont"/>
    <w:uiPriority w:val="99"/>
    <w:semiHidden/>
    <w:rsid w:val="003D15DF"/>
    <w:rPr>
      <w:rFonts w:cs="Times New Roman"/>
      <w:sz w:val="16"/>
      <w:szCs w:val="16"/>
    </w:rPr>
  </w:style>
  <w:style w:type="paragraph" w:styleId="CommentText">
    <w:name w:val="annotation text"/>
    <w:basedOn w:val="Normal"/>
    <w:link w:val="CommentTextChar"/>
    <w:uiPriority w:val="99"/>
    <w:rsid w:val="003D15DF"/>
    <w:rPr>
      <w:sz w:val="20"/>
      <w:szCs w:val="20"/>
    </w:rPr>
  </w:style>
  <w:style w:type="character" w:customStyle="1" w:styleId="CommentTextChar">
    <w:name w:val="Comment Text Char"/>
    <w:basedOn w:val="DefaultParagraphFont"/>
    <w:link w:val="CommentText"/>
    <w:uiPriority w:val="99"/>
    <w:rsid w:val="003D15DF"/>
    <w:rPr>
      <w:rFonts w:cs="Times New Roman"/>
      <w:lang w:eastAsia="zh-CN"/>
    </w:rPr>
  </w:style>
  <w:style w:type="paragraph" w:styleId="CommentSubject">
    <w:name w:val="annotation subject"/>
    <w:basedOn w:val="CommentText"/>
    <w:next w:val="CommentText"/>
    <w:link w:val="CommentSubjectChar"/>
    <w:semiHidden/>
    <w:rsid w:val="003D15DF"/>
    <w:rPr>
      <w:b/>
      <w:bCs/>
    </w:rPr>
  </w:style>
  <w:style w:type="character" w:customStyle="1" w:styleId="CommentSubjectChar">
    <w:name w:val="Comment Subject Char"/>
    <w:basedOn w:val="CommentTextChar"/>
    <w:link w:val="CommentSubject"/>
    <w:rsid w:val="003D15DF"/>
    <w:rPr>
      <w:rFonts w:cs="Times New Roman"/>
      <w:b/>
      <w:bCs/>
      <w:lang w:eastAsia="zh-CN"/>
    </w:rPr>
  </w:style>
  <w:style w:type="paragraph" w:styleId="BodyTextIndent3">
    <w:name w:val="Body Text Indent 3"/>
    <w:basedOn w:val="Normal"/>
    <w:link w:val="BodyTextIndent3Char"/>
    <w:rsid w:val="0002001D"/>
    <w:pPr>
      <w:spacing w:after="120"/>
      <w:ind w:left="360"/>
    </w:pPr>
    <w:rPr>
      <w:sz w:val="16"/>
      <w:szCs w:val="16"/>
    </w:rPr>
  </w:style>
  <w:style w:type="character" w:customStyle="1" w:styleId="BodyTextIndent3Char">
    <w:name w:val="Body Text Indent 3 Char"/>
    <w:basedOn w:val="DefaultParagraphFont"/>
    <w:link w:val="BodyTextIndent3"/>
    <w:rsid w:val="0002001D"/>
    <w:rPr>
      <w:rFonts w:cs="Times New Roman"/>
      <w:sz w:val="16"/>
      <w:szCs w:val="16"/>
      <w:lang w:eastAsia="zh-CN"/>
    </w:rPr>
  </w:style>
  <w:style w:type="paragraph" w:styleId="BodyTextIndent2">
    <w:name w:val="Body Text Indent 2"/>
    <w:basedOn w:val="Normal"/>
    <w:link w:val="BodyTextIndent2Char"/>
    <w:rsid w:val="00D35BCF"/>
    <w:pPr>
      <w:spacing w:after="120" w:line="480" w:lineRule="auto"/>
      <w:ind w:left="360"/>
    </w:pPr>
    <w:rPr>
      <w:sz w:val="20"/>
      <w:szCs w:val="20"/>
      <w:lang w:eastAsia="en-US"/>
    </w:rPr>
  </w:style>
  <w:style w:type="character" w:customStyle="1" w:styleId="BodyTextIndent2Char">
    <w:name w:val="Body Text Indent 2 Char"/>
    <w:basedOn w:val="DefaultParagraphFont"/>
    <w:link w:val="BodyTextIndent2"/>
    <w:rsid w:val="00D35BCF"/>
    <w:rPr>
      <w:rFonts w:eastAsia="Times New Roman" w:cs="Times New Roman"/>
    </w:rPr>
  </w:style>
  <w:style w:type="paragraph" w:styleId="ListParagraph">
    <w:name w:val="List Paragraph"/>
    <w:basedOn w:val="Normal"/>
    <w:link w:val="ListParagraphChar"/>
    <w:uiPriority w:val="34"/>
    <w:qFormat/>
    <w:rsid w:val="002D1F31"/>
    <w:pPr>
      <w:ind w:left="720"/>
      <w:contextualSpacing/>
    </w:pPr>
  </w:style>
  <w:style w:type="character" w:customStyle="1" w:styleId="zzmpTrailerItem">
    <w:name w:val="zzmpTrailerItem"/>
    <w:basedOn w:val="DefaultParagraphFont"/>
    <w:rsid w:val="009413AE"/>
    <w:rPr>
      <w:rFonts w:ascii="Times New Roman" w:hAnsi="Times New Roman" w:cs="Times New Roman"/>
      <w:dstrike w:val="0"/>
      <w:noProof/>
      <w:color w:val="auto"/>
      <w:spacing w:val="0"/>
      <w:position w:val="0"/>
      <w:sz w:val="16"/>
      <w:szCs w:val="16"/>
      <w:u w:val="none"/>
      <w:effect w:val="none"/>
      <w:vertAlign w:val="baseline"/>
    </w:rPr>
  </w:style>
  <w:style w:type="paragraph" w:styleId="FootnoteText">
    <w:name w:val="footnote text"/>
    <w:basedOn w:val="Normal"/>
    <w:link w:val="FootnoteTextChar"/>
    <w:uiPriority w:val="99"/>
    <w:semiHidden/>
    <w:rsid w:val="002867B3"/>
    <w:rPr>
      <w:sz w:val="20"/>
      <w:szCs w:val="20"/>
    </w:rPr>
  </w:style>
  <w:style w:type="character" w:styleId="FootnoteReference">
    <w:name w:val="footnote reference"/>
    <w:basedOn w:val="DefaultParagraphFont"/>
    <w:uiPriority w:val="99"/>
    <w:semiHidden/>
    <w:rsid w:val="002867B3"/>
    <w:rPr>
      <w:vertAlign w:val="superscript"/>
    </w:rPr>
  </w:style>
  <w:style w:type="character" w:styleId="Emphasis">
    <w:name w:val="Emphasis"/>
    <w:basedOn w:val="DefaultParagraphFont"/>
    <w:qFormat/>
    <w:rsid w:val="002867B3"/>
    <w:rPr>
      <w:i/>
      <w:iCs/>
    </w:rPr>
  </w:style>
  <w:style w:type="paragraph" w:styleId="Revision">
    <w:name w:val="Revision"/>
    <w:hidden/>
    <w:uiPriority w:val="99"/>
    <w:semiHidden/>
    <w:rsid w:val="00C03199"/>
    <w:rPr>
      <w:sz w:val="24"/>
      <w:szCs w:val="24"/>
      <w:lang w:eastAsia="zh-CN"/>
    </w:rPr>
  </w:style>
  <w:style w:type="character" w:customStyle="1" w:styleId="HeaderChar">
    <w:name w:val="Header Char"/>
    <w:basedOn w:val="DefaultParagraphFont"/>
    <w:link w:val="Header"/>
    <w:uiPriority w:val="99"/>
    <w:rsid w:val="00AF0B79"/>
  </w:style>
  <w:style w:type="character" w:customStyle="1" w:styleId="Answer1Char">
    <w:name w:val="Answer 1 Char"/>
    <w:basedOn w:val="DefaultParagraphFont"/>
    <w:link w:val="Answer1"/>
    <w:locked/>
    <w:rsid w:val="00C40BB0"/>
    <w:rPr>
      <w:rFonts w:ascii="MS Mincho" w:eastAsia="MS Mincho"/>
      <w:szCs w:val="24"/>
    </w:rPr>
  </w:style>
  <w:style w:type="paragraph" w:customStyle="1" w:styleId="Answer1">
    <w:name w:val="Answer 1"/>
    <w:basedOn w:val="Normal"/>
    <w:next w:val="BodyText"/>
    <w:link w:val="Answer1Char"/>
    <w:rsid w:val="00C40BB0"/>
    <w:pPr>
      <w:numPr>
        <w:numId w:val="6"/>
      </w:numPr>
      <w:spacing w:after="240" w:line="360" w:lineRule="auto"/>
      <w:outlineLvl w:val="0"/>
    </w:pPr>
    <w:rPr>
      <w:rFonts w:ascii="MS Mincho" w:eastAsia="MS Mincho"/>
      <w:sz w:val="20"/>
      <w:lang w:eastAsia="en-US"/>
    </w:rPr>
  </w:style>
  <w:style w:type="paragraph" w:styleId="ListBullet">
    <w:name w:val="List Bullet"/>
    <w:basedOn w:val="Normal"/>
    <w:uiPriority w:val="99"/>
    <w:unhideWhenUsed/>
    <w:rsid w:val="000070EF"/>
    <w:pPr>
      <w:numPr>
        <w:numId w:val="7"/>
      </w:numPr>
      <w:contextualSpacing/>
    </w:pPr>
  </w:style>
  <w:style w:type="paragraph" w:customStyle="1" w:styleId="StandardL1">
    <w:name w:val="Standard_L1"/>
    <w:basedOn w:val="Normal"/>
    <w:next w:val="StandardL2"/>
    <w:rsid w:val="00EE387E"/>
    <w:pPr>
      <w:keepNext/>
      <w:numPr>
        <w:numId w:val="10"/>
      </w:numPr>
      <w:spacing w:after="240"/>
      <w:jc w:val="center"/>
      <w:outlineLvl w:val="0"/>
    </w:pPr>
    <w:rPr>
      <w:rFonts w:eastAsia="MS Mincho"/>
      <w:b/>
      <w:szCs w:val="20"/>
      <w:lang w:eastAsia="en-US"/>
    </w:rPr>
  </w:style>
  <w:style w:type="paragraph" w:customStyle="1" w:styleId="StandardL2">
    <w:name w:val="Standard_L2"/>
    <w:basedOn w:val="StandardL1"/>
    <w:next w:val="StandardL3"/>
    <w:link w:val="StandardL2Char"/>
    <w:rsid w:val="00EE387E"/>
    <w:pPr>
      <w:keepNext w:val="0"/>
      <w:numPr>
        <w:ilvl w:val="1"/>
      </w:numPr>
      <w:spacing w:after="0" w:line="360" w:lineRule="auto"/>
      <w:jc w:val="left"/>
      <w:outlineLvl w:val="1"/>
    </w:pPr>
  </w:style>
  <w:style w:type="paragraph" w:customStyle="1" w:styleId="StandardL3">
    <w:name w:val="Standard_L3"/>
    <w:basedOn w:val="StandardL2"/>
    <w:next w:val="StandardL2"/>
    <w:link w:val="StandardL3Char"/>
    <w:rsid w:val="00EE387E"/>
    <w:pPr>
      <w:numPr>
        <w:ilvl w:val="2"/>
      </w:numPr>
      <w:tabs>
        <w:tab w:val="clear" w:pos="2160"/>
      </w:tabs>
      <w:ind w:left="2160" w:hanging="180"/>
      <w:outlineLvl w:val="2"/>
    </w:pPr>
    <w:rPr>
      <w:b w:val="0"/>
    </w:rPr>
  </w:style>
  <w:style w:type="character" w:customStyle="1" w:styleId="StandardL3Char">
    <w:name w:val="Standard_L3 Char"/>
    <w:basedOn w:val="DefaultParagraphFont"/>
    <w:link w:val="StandardL3"/>
    <w:rsid w:val="00EE387E"/>
    <w:rPr>
      <w:rFonts w:eastAsia="MS Mincho"/>
      <w:sz w:val="24"/>
    </w:rPr>
  </w:style>
  <w:style w:type="character" w:customStyle="1" w:styleId="StandardL2Char">
    <w:name w:val="Standard_L2 Char"/>
    <w:basedOn w:val="DefaultParagraphFont"/>
    <w:link w:val="StandardL2"/>
    <w:rsid w:val="00EE387E"/>
    <w:rPr>
      <w:rFonts w:eastAsia="MS Mincho"/>
      <w:b/>
      <w:sz w:val="24"/>
    </w:rPr>
  </w:style>
  <w:style w:type="table" w:customStyle="1" w:styleId="ListTable2-Accent11">
    <w:name w:val="List Table 2 - Accent 11"/>
    <w:basedOn w:val="TableNormal"/>
    <w:uiPriority w:val="47"/>
    <w:rsid w:val="00EE387E"/>
    <w:rPr>
      <w:rFonts w:asciiTheme="minorHAnsi" w:eastAsiaTheme="minorHAnsi" w:hAnsiTheme="minorHAnsi" w:cstheme="minorBidi"/>
      <w:sz w:val="22"/>
      <w:szCs w:val="22"/>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Indent">
    <w:name w:val="Indent"/>
    <w:basedOn w:val="Normal"/>
    <w:qFormat/>
    <w:rsid w:val="00EE387E"/>
    <w:pPr>
      <w:widowControl w:val="0"/>
      <w:tabs>
        <w:tab w:val="num" w:pos="720"/>
      </w:tabs>
      <w:spacing w:after="240" w:line="360" w:lineRule="auto"/>
      <w:ind w:left="720"/>
      <w:jc w:val="both"/>
      <w:outlineLvl w:val="1"/>
    </w:pPr>
    <w:rPr>
      <w:rFonts w:eastAsia="Times New Roman"/>
      <w:szCs w:val="20"/>
      <w:lang w:eastAsia="en-US"/>
    </w:rPr>
  </w:style>
  <w:style w:type="paragraph" w:customStyle="1" w:styleId="hang">
    <w:name w:val="hang"/>
    <w:basedOn w:val="Normal"/>
    <w:qFormat/>
    <w:rsid w:val="00EE387E"/>
    <w:pPr>
      <w:widowControl w:val="0"/>
      <w:spacing w:after="240" w:line="360" w:lineRule="auto"/>
      <w:ind w:left="720" w:hanging="720"/>
      <w:jc w:val="both"/>
      <w:outlineLvl w:val="1"/>
    </w:pPr>
    <w:rPr>
      <w:rFonts w:eastAsia="Times New Roman"/>
      <w:szCs w:val="20"/>
      <w:lang w:eastAsia="en-US"/>
    </w:rPr>
  </w:style>
  <w:style w:type="paragraph" w:customStyle="1" w:styleId="TestimonyQuestion">
    <w:name w:val="Testimony Question"/>
    <w:basedOn w:val="Normal"/>
    <w:rsid w:val="00134518"/>
    <w:pPr>
      <w:numPr>
        <w:numId w:val="14"/>
      </w:numPr>
      <w:spacing w:line="480" w:lineRule="auto"/>
      <w:jc w:val="both"/>
    </w:pPr>
    <w:rPr>
      <w:rFonts w:eastAsia="Times New Roman"/>
      <w:b/>
      <w:sz w:val="28"/>
      <w:szCs w:val="28"/>
      <w:lang w:eastAsia="en-US"/>
    </w:rPr>
  </w:style>
  <w:style w:type="character" w:customStyle="1" w:styleId="Heading1Char">
    <w:name w:val="Heading 1 Char"/>
    <w:basedOn w:val="DefaultParagraphFont"/>
    <w:link w:val="Heading1"/>
    <w:uiPriority w:val="9"/>
    <w:rsid w:val="00E233E6"/>
    <w:rPr>
      <w:rFonts w:asciiTheme="majorHAnsi" w:eastAsiaTheme="majorEastAsia" w:hAnsiTheme="majorHAnsi" w:cstheme="majorBidi"/>
      <w:color w:val="365F91" w:themeColor="accent1" w:themeShade="BF"/>
      <w:sz w:val="32"/>
      <w:szCs w:val="32"/>
      <w:lang w:eastAsia="zh-CN"/>
    </w:rPr>
  </w:style>
  <w:style w:type="paragraph" w:styleId="TOCHeading">
    <w:name w:val="TOC Heading"/>
    <w:basedOn w:val="Heading1"/>
    <w:next w:val="Normal"/>
    <w:uiPriority w:val="39"/>
    <w:unhideWhenUsed/>
    <w:qFormat/>
    <w:rsid w:val="00E233E6"/>
    <w:pPr>
      <w:spacing w:line="259" w:lineRule="auto"/>
      <w:outlineLvl w:val="9"/>
    </w:pPr>
    <w:rPr>
      <w:lang w:eastAsia="en-US"/>
    </w:rPr>
  </w:style>
  <w:style w:type="paragraph" w:styleId="TOC1">
    <w:name w:val="toc 1"/>
    <w:basedOn w:val="Normal"/>
    <w:next w:val="Normal"/>
    <w:autoRedefine/>
    <w:uiPriority w:val="39"/>
    <w:unhideWhenUsed/>
    <w:rsid w:val="00451E65"/>
    <w:pPr>
      <w:keepLines/>
      <w:tabs>
        <w:tab w:val="right" w:leader="dot" w:pos="9288"/>
      </w:tabs>
      <w:spacing w:after="240"/>
      <w:ind w:left="720" w:right="720" w:hanging="720"/>
    </w:pPr>
    <w:rPr>
      <w:rFonts w:eastAsia="Times New Roman"/>
      <w:szCs w:val="20"/>
      <w:lang w:eastAsia="en-US"/>
    </w:rPr>
  </w:style>
  <w:style w:type="paragraph" w:styleId="TOC2">
    <w:name w:val="toc 2"/>
    <w:basedOn w:val="Normal"/>
    <w:next w:val="Normal"/>
    <w:autoRedefine/>
    <w:uiPriority w:val="39"/>
    <w:unhideWhenUsed/>
    <w:rsid w:val="00E233E6"/>
    <w:pPr>
      <w:keepLines/>
      <w:tabs>
        <w:tab w:val="right" w:leader="dot" w:pos="9288"/>
      </w:tabs>
      <w:spacing w:after="120"/>
      <w:ind w:left="1440" w:right="720" w:hanging="720"/>
    </w:pPr>
    <w:rPr>
      <w:rFonts w:eastAsia="Times New Roman"/>
      <w:szCs w:val="20"/>
      <w:lang w:eastAsia="en-US"/>
    </w:rPr>
  </w:style>
  <w:style w:type="paragraph" w:styleId="TOC3">
    <w:name w:val="toc 3"/>
    <w:basedOn w:val="Normal"/>
    <w:next w:val="Normal"/>
    <w:autoRedefine/>
    <w:uiPriority w:val="39"/>
    <w:unhideWhenUsed/>
    <w:rsid w:val="006E2E96"/>
    <w:pPr>
      <w:keepLines/>
      <w:tabs>
        <w:tab w:val="right" w:leader="dot" w:pos="9288"/>
      </w:tabs>
      <w:spacing w:after="120"/>
      <w:ind w:left="2160" w:right="720" w:hanging="720"/>
    </w:pPr>
    <w:rPr>
      <w:rFonts w:eastAsia="Times New Roman"/>
      <w:szCs w:val="20"/>
      <w:lang w:eastAsia="en-US"/>
    </w:rPr>
  </w:style>
  <w:style w:type="character" w:styleId="Hyperlink">
    <w:name w:val="Hyperlink"/>
    <w:basedOn w:val="DefaultParagraphFont"/>
    <w:uiPriority w:val="99"/>
    <w:unhideWhenUsed/>
    <w:rsid w:val="00E233E6"/>
    <w:rPr>
      <w:color w:val="0000FF" w:themeColor="hyperlink"/>
      <w:u w:val="single"/>
    </w:rPr>
  </w:style>
  <w:style w:type="table" w:styleId="TableGrid">
    <w:name w:val="Table Grid"/>
    <w:basedOn w:val="TableNormal"/>
    <w:uiPriority w:val="59"/>
    <w:rsid w:val="00F153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Cont1">
    <w:name w:val="Outline Cont 1"/>
    <w:basedOn w:val="Normal"/>
    <w:link w:val="OutlineCont1Char"/>
    <w:rsid w:val="00E378D9"/>
    <w:pPr>
      <w:spacing w:after="240"/>
      <w:ind w:firstLine="720"/>
    </w:pPr>
    <w:rPr>
      <w:rFonts w:eastAsia="Times New Roman"/>
      <w:szCs w:val="20"/>
      <w:lang w:eastAsia="en-US"/>
    </w:rPr>
  </w:style>
  <w:style w:type="character" w:customStyle="1" w:styleId="ListParagraphChar">
    <w:name w:val="List Paragraph Char"/>
    <w:basedOn w:val="DefaultParagraphFont"/>
    <w:link w:val="ListParagraph"/>
    <w:uiPriority w:val="34"/>
    <w:rsid w:val="00E378D9"/>
    <w:rPr>
      <w:sz w:val="24"/>
      <w:szCs w:val="24"/>
      <w:lang w:eastAsia="zh-CN"/>
    </w:rPr>
  </w:style>
  <w:style w:type="character" w:customStyle="1" w:styleId="OutlineCont1Char">
    <w:name w:val="Outline Cont 1 Char"/>
    <w:basedOn w:val="ListParagraphChar"/>
    <w:link w:val="OutlineCont1"/>
    <w:rsid w:val="00E378D9"/>
    <w:rPr>
      <w:rFonts w:eastAsia="Times New Roman"/>
      <w:sz w:val="24"/>
      <w:szCs w:val="24"/>
      <w:lang w:eastAsia="zh-CN"/>
    </w:rPr>
  </w:style>
  <w:style w:type="paragraph" w:customStyle="1" w:styleId="OutlineCont2">
    <w:name w:val="Outline Cont 2"/>
    <w:basedOn w:val="OutlineCont1"/>
    <w:link w:val="OutlineCont2Char"/>
    <w:rsid w:val="00E378D9"/>
    <w:pPr>
      <w:ind w:firstLine="1440"/>
    </w:pPr>
  </w:style>
  <w:style w:type="character" w:customStyle="1" w:styleId="OutlineCont2Char">
    <w:name w:val="Outline Cont 2 Char"/>
    <w:basedOn w:val="ListParagraphChar"/>
    <w:link w:val="OutlineCont2"/>
    <w:rsid w:val="00E378D9"/>
    <w:rPr>
      <w:rFonts w:eastAsia="Times New Roman"/>
      <w:sz w:val="24"/>
      <w:szCs w:val="24"/>
      <w:lang w:eastAsia="zh-CN"/>
    </w:rPr>
  </w:style>
  <w:style w:type="paragraph" w:customStyle="1" w:styleId="OutlineCont3">
    <w:name w:val="Outline Cont 3"/>
    <w:basedOn w:val="OutlineCont2"/>
    <w:link w:val="OutlineCont3Char"/>
    <w:rsid w:val="00E378D9"/>
    <w:pPr>
      <w:ind w:firstLine="2160"/>
    </w:pPr>
  </w:style>
  <w:style w:type="character" w:customStyle="1" w:styleId="OutlineCont3Char">
    <w:name w:val="Outline Cont 3 Char"/>
    <w:basedOn w:val="ListParagraphChar"/>
    <w:link w:val="OutlineCont3"/>
    <w:rsid w:val="00E378D9"/>
    <w:rPr>
      <w:rFonts w:eastAsia="Times New Roman"/>
      <w:sz w:val="24"/>
      <w:szCs w:val="24"/>
      <w:lang w:eastAsia="zh-CN"/>
    </w:rPr>
  </w:style>
  <w:style w:type="paragraph" w:customStyle="1" w:styleId="OutlineCont4">
    <w:name w:val="Outline Cont 4"/>
    <w:basedOn w:val="OutlineCont3"/>
    <w:link w:val="OutlineCont4Char"/>
    <w:rsid w:val="00E378D9"/>
    <w:pPr>
      <w:ind w:firstLine="2880"/>
    </w:pPr>
  </w:style>
  <w:style w:type="character" w:customStyle="1" w:styleId="OutlineCont4Char">
    <w:name w:val="Outline Cont 4 Char"/>
    <w:basedOn w:val="ListParagraphChar"/>
    <w:link w:val="OutlineCont4"/>
    <w:rsid w:val="00E378D9"/>
    <w:rPr>
      <w:rFonts w:eastAsia="Times New Roman"/>
      <w:sz w:val="24"/>
      <w:szCs w:val="24"/>
      <w:lang w:eastAsia="zh-CN"/>
    </w:rPr>
  </w:style>
  <w:style w:type="paragraph" w:customStyle="1" w:styleId="OutlineCont5">
    <w:name w:val="Outline Cont 5"/>
    <w:basedOn w:val="OutlineCont4"/>
    <w:link w:val="OutlineCont5Char"/>
    <w:rsid w:val="00E378D9"/>
    <w:pPr>
      <w:ind w:firstLine="3600"/>
    </w:pPr>
  </w:style>
  <w:style w:type="character" w:customStyle="1" w:styleId="OutlineCont5Char">
    <w:name w:val="Outline Cont 5 Char"/>
    <w:basedOn w:val="ListParagraphChar"/>
    <w:link w:val="OutlineCont5"/>
    <w:rsid w:val="00E378D9"/>
    <w:rPr>
      <w:rFonts w:eastAsia="Times New Roman"/>
      <w:sz w:val="24"/>
      <w:szCs w:val="24"/>
      <w:lang w:eastAsia="zh-CN"/>
    </w:rPr>
  </w:style>
  <w:style w:type="paragraph" w:customStyle="1" w:styleId="OutlineCont6">
    <w:name w:val="Outline Cont 6"/>
    <w:basedOn w:val="OutlineCont5"/>
    <w:link w:val="OutlineCont6Char"/>
    <w:rsid w:val="00E378D9"/>
    <w:pPr>
      <w:ind w:firstLine="4320"/>
    </w:pPr>
  </w:style>
  <w:style w:type="character" w:customStyle="1" w:styleId="OutlineCont6Char">
    <w:name w:val="Outline Cont 6 Char"/>
    <w:basedOn w:val="ListParagraphChar"/>
    <w:link w:val="OutlineCont6"/>
    <w:rsid w:val="00E378D9"/>
    <w:rPr>
      <w:rFonts w:eastAsia="Times New Roman"/>
      <w:sz w:val="24"/>
      <w:szCs w:val="24"/>
      <w:lang w:eastAsia="zh-CN"/>
    </w:rPr>
  </w:style>
  <w:style w:type="paragraph" w:customStyle="1" w:styleId="OutlineCont7">
    <w:name w:val="Outline Cont 7"/>
    <w:basedOn w:val="OutlineCont6"/>
    <w:link w:val="OutlineCont7Char"/>
    <w:rsid w:val="00E378D9"/>
    <w:pPr>
      <w:ind w:firstLine="5040"/>
    </w:pPr>
  </w:style>
  <w:style w:type="character" w:customStyle="1" w:styleId="OutlineCont7Char">
    <w:name w:val="Outline Cont 7 Char"/>
    <w:basedOn w:val="ListParagraphChar"/>
    <w:link w:val="OutlineCont7"/>
    <w:rsid w:val="00E378D9"/>
    <w:rPr>
      <w:rFonts w:eastAsia="Times New Roman"/>
      <w:sz w:val="24"/>
      <w:szCs w:val="24"/>
      <w:lang w:eastAsia="zh-CN"/>
    </w:rPr>
  </w:style>
  <w:style w:type="paragraph" w:customStyle="1" w:styleId="OutlineCont8">
    <w:name w:val="Outline Cont 8"/>
    <w:basedOn w:val="OutlineCont7"/>
    <w:link w:val="OutlineCont8Char"/>
    <w:rsid w:val="00E378D9"/>
    <w:pPr>
      <w:ind w:firstLine="5760"/>
    </w:pPr>
  </w:style>
  <w:style w:type="character" w:customStyle="1" w:styleId="OutlineCont8Char">
    <w:name w:val="Outline Cont 8 Char"/>
    <w:basedOn w:val="ListParagraphChar"/>
    <w:link w:val="OutlineCont8"/>
    <w:rsid w:val="00E378D9"/>
    <w:rPr>
      <w:rFonts w:eastAsia="Times New Roman"/>
      <w:sz w:val="24"/>
      <w:szCs w:val="24"/>
      <w:lang w:eastAsia="zh-CN"/>
    </w:rPr>
  </w:style>
  <w:style w:type="paragraph" w:customStyle="1" w:styleId="OutlineCont9">
    <w:name w:val="Outline Cont 9"/>
    <w:basedOn w:val="OutlineCont8"/>
    <w:link w:val="OutlineCont9Char"/>
    <w:rsid w:val="00E378D9"/>
    <w:pPr>
      <w:ind w:firstLine="6480"/>
    </w:pPr>
  </w:style>
  <w:style w:type="character" w:customStyle="1" w:styleId="OutlineCont9Char">
    <w:name w:val="Outline Cont 9 Char"/>
    <w:basedOn w:val="ListParagraphChar"/>
    <w:link w:val="OutlineCont9"/>
    <w:rsid w:val="00E378D9"/>
    <w:rPr>
      <w:rFonts w:eastAsia="Times New Roman"/>
      <w:sz w:val="24"/>
      <w:szCs w:val="24"/>
      <w:lang w:eastAsia="zh-CN"/>
    </w:rPr>
  </w:style>
  <w:style w:type="paragraph" w:customStyle="1" w:styleId="OutlineL1">
    <w:name w:val="Outline_L1"/>
    <w:basedOn w:val="Normal"/>
    <w:next w:val="BodyText"/>
    <w:link w:val="OutlineL1Char"/>
    <w:rsid w:val="00CA59B3"/>
    <w:pPr>
      <w:numPr>
        <w:numId w:val="16"/>
      </w:numPr>
      <w:spacing w:after="360"/>
      <w:jc w:val="center"/>
      <w:outlineLvl w:val="0"/>
    </w:pPr>
    <w:rPr>
      <w:rFonts w:eastAsia="Times New Roman"/>
      <w:b/>
      <w:szCs w:val="20"/>
      <w:u w:val="single"/>
      <w:lang w:eastAsia="en-US"/>
    </w:rPr>
  </w:style>
  <w:style w:type="character" w:customStyle="1" w:styleId="OutlineL1Char">
    <w:name w:val="Outline_L1 Char"/>
    <w:basedOn w:val="ListParagraphChar"/>
    <w:link w:val="OutlineL1"/>
    <w:rsid w:val="00CA59B3"/>
    <w:rPr>
      <w:rFonts w:eastAsia="Times New Roman"/>
      <w:b/>
      <w:sz w:val="24"/>
      <w:szCs w:val="24"/>
      <w:u w:val="single"/>
      <w:lang w:eastAsia="zh-CN"/>
    </w:rPr>
  </w:style>
  <w:style w:type="paragraph" w:customStyle="1" w:styleId="OutlineL2">
    <w:name w:val="Outline_L2"/>
    <w:basedOn w:val="OutlineL1"/>
    <w:next w:val="BodyText"/>
    <w:link w:val="OutlineL2Char"/>
    <w:rsid w:val="00E378D9"/>
    <w:pPr>
      <w:numPr>
        <w:ilvl w:val="1"/>
      </w:numPr>
      <w:jc w:val="left"/>
      <w:outlineLvl w:val="1"/>
    </w:pPr>
  </w:style>
  <w:style w:type="character" w:customStyle="1" w:styleId="OutlineL2Char">
    <w:name w:val="Outline_L2 Char"/>
    <w:basedOn w:val="ListParagraphChar"/>
    <w:link w:val="OutlineL2"/>
    <w:rsid w:val="00E378D9"/>
    <w:rPr>
      <w:rFonts w:eastAsia="Times New Roman"/>
      <w:b/>
      <w:sz w:val="24"/>
      <w:szCs w:val="24"/>
      <w:u w:val="single"/>
      <w:lang w:eastAsia="zh-CN"/>
    </w:rPr>
  </w:style>
  <w:style w:type="paragraph" w:customStyle="1" w:styleId="OutlineL3">
    <w:name w:val="Outline_L3"/>
    <w:basedOn w:val="OutlineL2"/>
    <w:next w:val="BodyText"/>
    <w:link w:val="OutlineL3Char"/>
    <w:rsid w:val="00E378D9"/>
    <w:pPr>
      <w:numPr>
        <w:ilvl w:val="2"/>
      </w:numPr>
      <w:outlineLvl w:val="2"/>
    </w:pPr>
  </w:style>
  <w:style w:type="character" w:customStyle="1" w:styleId="OutlineL3Char">
    <w:name w:val="Outline_L3 Char"/>
    <w:basedOn w:val="ListParagraphChar"/>
    <w:link w:val="OutlineL3"/>
    <w:rsid w:val="00E378D9"/>
    <w:rPr>
      <w:rFonts w:eastAsia="Times New Roman"/>
      <w:b/>
      <w:sz w:val="24"/>
      <w:szCs w:val="24"/>
      <w:u w:val="single"/>
      <w:lang w:eastAsia="zh-CN"/>
    </w:rPr>
  </w:style>
  <w:style w:type="paragraph" w:customStyle="1" w:styleId="OutlineL4">
    <w:name w:val="Outline_L4"/>
    <w:basedOn w:val="OutlineL3"/>
    <w:next w:val="BodyText"/>
    <w:link w:val="OutlineL4Char"/>
    <w:rsid w:val="00E378D9"/>
    <w:pPr>
      <w:numPr>
        <w:ilvl w:val="3"/>
      </w:numPr>
      <w:outlineLvl w:val="3"/>
    </w:pPr>
  </w:style>
  <w:style w:type="character" w:customStyle="1" w:styleId="OutlineL4Char">
    <w:name w:val="Outline_L4 Char"/>
    <w:basedOn w:val="ListParagraphChar"/>
    <w:link w:val="OutlineL4"/>
    <w:rsid w:val="00E378D9"/>
    <w:rPr>
      <w:rFonts w:eastAsia="Times New Roman"/>
      <w:b/>
      <w:sz w:val="24"/>
      <w:szCs w:val="24"/>
      <w:u w:val="single"/>
      <w:lang w:eastAsia="zh-CN"/>
    </w:rPr>
  </w:style>
  <w:style w:type="paragraph" w:customStyle="1" w:styleId="OutlineL5">
    <w:name w:val="Outline_L5"/>
    <w:basedOn w:val="OutlineL4"/>
    <w:next w:val="BodyText"/>
    <w:link w:val="OutlineL5Char"/>
    <w:rsid w:val="00E378D9"/>
    <w:pPr>
      <w:numPr>
        <w:ilvl w:val="4"/>
      </w:numPr>
      <w:outlineLvl w:val="4"/>
    </w:pPr>
  </w:style>
  <w:style w:type="character" w:customStyle="1" w:styleId="OutlineL5Char">
    <w:name w:val="Outline_L5 Char"/>
    <w:basedOn w:val="ListParagraphChar"/>
    <w:link w:val="OutlineL5"/>
    <w:rsid w:val="00E378D9"/>
    <w:rPr>
      <w:rFonts w:eastAsia="Times New Roman"/>
      <w:b/>
      <w:sz w:val="24"/>
      <w:szCs w:val="24"/>
      <w:u w:val="single"/>
      <w:lang w:eastAsia="zh-CN"/>
    </w:rPr>
  </w:style>
  <w:style w:type="paragraph" w:customStyle="1" w:styleId="OutlineL6">
    <w:name w:val="Outline_L6"/>
    <w:basedOn w:val="OutlineL5"/>
    <w:next w:val="BodyText"/>
    <w:link w:val="OutlineL6Char"/>
    <w:rsid w:val="00E378D9"/>
    <w:pPr>
      <w:numPr>
        <w:ilvl w:val="5"/>
      </w:numPr>
      <w:outlineLvl w:val="5"/>
    </w:pPr>
  </w:style>
  <w:style w:type="character" w:customStyle="1" w:styleId="OutlineL6Char">
    <w:name w:val="Outline_L6 Char"/>
    <w:basedOn w:val="ListParagraphChar"/>
    <w:link w:val="OutlineL6"/>
    <w:rsid w:val="00E378D9"/>
    <w:rPr>
      <w:rFonts w:eastAsia="Times New Roman"/>
      <w:b/>
      <w:sz w:val="24"/>
      <w:szCs w:val="24"/>
      <w:u w:val="single"/>
      <w:lang w:eastAsia="zh-CN"/>
    </w:rPr>
  </w:style>
  <w:style w:type="paragraph" w:customStyle="1" w:styleId="OutlineL7">
    <w:name w:val="Outline_L7"/>
    <w:basedOn w:val="OutlineL6"/>
    <w:next w:val="BodyText"/>
    <w:link w:val="OutlineL7Char"/>
    <w:rsid w:val="00E378D9"/>
    <w:pPr>
      <w:numPr>
        <w:ilvl w:val="6"/>
      </w:numPr>
      <w:outlineLvl w:val="6"/>
    </w:pPr>
  </w:style>
  <w:style w:type="character" w:customStyle="1" w:styleId="OutlineL7Char">
    <w:name w:val="Outline_L7 Char"/>
    <w:basedOn w:val="ListParagraphChar"/>
    <w:link w:val="OutlineL7"/>
    <w:rsid w:val="00E378D9"/>
    <w:rPr>
      <w:rFonts w:eastAsia="Times New Roman"/>
      <w:b/>
      <w:sz w:val="24"/>
      <w:szCs w:val="24"/>
      <w:u w:val="single"/>
      <w:lang w:eastAsia="zh-CN"/>
    </w:rPr>
  </w:style>
  <w:style w:type="paragraph" w:customStyle="1" w:styleId="OutlineL8">
    <w:name w:val="Outline_L8"/>
    <w:basedOn w:val="OutlineL7"/>
    <w:next w:val="BodyText"/>
    <w:link w:val="OutlineL8Char"/>
    <w:rsid w:val="00E378D9"/>
    <w:pPr>
      <w:numPr>
        <w:ilvl w:val="7"/>
      </w:numPr>
      <w:outlineLvl w:val="7"/>
    </w:pPr>
  </w:style>
  <w:style w:type="character" w:customStyle="1" w:styleId="OutlineL8Char">
    <w:name w:val="Outline_L8 Char"/>
    <w:basedOn w:val="ListParagraphChar"/>
    <w:link w:val="OutlineL8"/>
    <w:rsid w:val="00E378D9"/>
    <w:rPr>
      <w:rFonts w:eastAsia="Times New Roman"/>
      <w:b/>
      <w:sz w:val="24"/>
      <w:szCs w:val="24"/>
      <w:u w:val="single"/>
      <w:lang w:eastAsia="zh-CN"/>
    </w:rPr>
  </w:style>
  <w:style w:type="paragraph" w:customStyle="1" w:styleId="OutlineL9">
    <w:name w:val="Outline_L9"/>
    <w:basedOn w:val="OutlineL8"/>
    <w:next w:val="BodyText"/>
    <w:link w:val="OutlineL9Char"/>
    <w:rsid w:val="00E378D9"/>
    <w:pPr>
      <w:numPr>
        <w:ilvl w:val="8"/>
      </w:numPr>
      <w:outlineLvl w:val="8"/>
    </w:pPr>
  </w:style>
  <w:style w:type="character" w:customStyle="1" w:styleId="OutlineL9Char">
    <w:name w:val="Outline_L9 Char"/>
    <w:basedOn w:val="ListParagraphChar"/>
    <w:link w:val="OutlineL9"/>
    <w:rsid w:val="00E378D9"/>
    <w:rPr>
      <w:rFonts w:eastAsia="Times New Roman"/>
      <w:b/>
      <w:sz w:val="24"/>
      <w:szCs w:val="24"/>
      <w:u w:val="single"/>
      <w:lang w:eastAsia="zh-CN"/>
    </w:rPr>
  </w:style>
  <w:style w:type="paragraph" w:customStyle="1" w:styleId="TOCHeader">
    <w:name w:val="TOC Header"/>
    <w:basedOn w:val="Normal"/>
    <w:rsid w:val="00972855"/>
    <w:pPr>
      <w:ind w:left="115" w:right="115"/>
      <w:jc w:val="center"/>
    </w:pPr>
    <w:rPr>
      <w:rFonts w:eastAsia="Times New Roman"/>
      <w:szCs w:val="20"/>
      <w:lang w:eastAsia="en-US"/>
    </w:rPr>
  </w:style>
  <w:style w:type="paragraph" w:styleId="TableofAuthorities">
    <w:name w:val="table of authorities"/>
    <w:basedOn w:val="Normal"/>
    <w:next w:val="Normal"/>
    <w:uiPriority w:val="99"/>
    <w:semiHidden/>
    <w:unhideWhenUsed/>
    <w:rsid w:val="00972855"/>
    <w:pPr>
      <w:ind w:left="240" w:hanging="240"/>
    </w:pPr>
  </w:style>
  <w:style w:type="paragraph" w:styleId="TOC4">
    <w:name w:val="toc 4"/>
    <w:basedOn w:val="Normal"/>
    <w:next w:val="Normal"/>
    <w:autoRedefine/>
    <w:uiPriority w:val="39"/>
    <w:semiHidden/>
    <w:unhideWhenUsed/>
    <w:rsid w:val="00972855"/>
    <w:pPr>
      <w:keepLines/>
      <w:tabs>
        <w:tab w:val="right" w:leader="dot" w:pos="9288"/>
      </w:tabs>
      <w:spacing w:after="120"/>
      <w:ind w:left="2880" w:right="720" w:hanging="720"/>
    </w:pPr>
    <w:rPr>
      <w:rFonts w:eastAsia="Times New Roman"/>
      <w:szCs w:val="20"/>
      <w:lang w:eastAsia="en-US"/>
    </w:rPr>
  </w:style>
  <w:style w:type="paragraph" w:styleId="TOC5">
    <w:name w:val="toc 5"/>
    <w:basedOn w:val="Normal"/>
    <w:next w:val="Normal"/>
    <w:autoRedefine/>
    <w:uiPriority w:val="39"/>
    <w:semiHidden/>
    <w:unhideWhenUsed/>
    <w:rsid w:val="00972855"/>
    <w:pPr>
      <w:keepLines/>
      <w:tabs>
        <w:tab w:val="right" w:leader="dot" w:pos="9288"/>
      </w:tabs>
      <w:spacing w:after="120"/>
      <w:ind w:left="3600" w:right="720" w:hanging="720"/>
    </w:pPr>
    <w:rPr>
      <w:rFonts w:eastAsia="Times New Roman"/>
      <w:szCs w:val="20"/>
      <w:lang w:eastAsia="en-US"/>
    </w:rPr>
  </w:style>
  <w:style w:type="paragraph" w:styleId="TOC6">
    <w:name w:val="toc 6"/>
    <w:basedOn w:val="Normal"/>
    <w:next w:val="Normal"/>
    <w:autoRedefine/>
    <w:uiPriority w:val="39"/>
    <w:semiHidden/>
    <w:unhideWhenUsed/>
    <w:rsid w:val="00972855"/>
    <w:pPr>
      <w:keepLines/>
      <w:tabs>
        <w:tab w:val="right" w:leader="dot" w:pos="9288"/>
      </w:tabs>
      <w:spacing w:after="120"/>
      <w:ind w:left="4320" w:right="720" w:hanging="720"/>
    </w:pPr>
    <w:rPr>
      <w:rFonts w:eastAsia="Times New Roman"/>
      <w:szCs w:val="20"/>
      <w:lang w:eastAsia="en-US"/>
    </w:rPr>
  </w:style>
  <w:style w:type="paragraph" w:styleId="TOC7">
    <w:name w:val="toc 7"/>
    <w:basedOn w:val="Normal"/>
    <w:next w:val="Normal"/>
    <w:autoRedefine/>
    <w:uiPriority w:val="39"/>
    <w:semiHidden/>
    <w:unhideWhenUsed/>
    <w:rsid w:val="00972855"/>
    <w:pPr>
      <w:keepLines/>
      <w:tabs>
        <w:tab w:val="right" w:leader="dot" w:pos="9288"/>
      </w:tabs>
      <w:spacing w:after="120"/>
      <w:ind w:left="5040" w:right="720" w:hanging="720"/>
    </w:pPr>
    <w:rPr>
      <w:rFonts w:eastAsia="Times New Roman"/>
      <w:szCs w:val="20"/>
      <w:lang w:eastAsia="en-US"/>
    </w:rPr>
  </w:style>
  <w:style w:type="paragraph" w:styleId="TOC8">
    <w:name w:val="toc 8"/>
    <w:basedOn w:val="Normal"/>
    <w:next w:val="Normal"/>
    <w:autoRedefine/>
    <w:uiPriority w:val="39"/>
    <w:semiHidden/>
    <w:unhideWhenUsed/>
    <w:rsid w:val="00972855"/>
    <w:pPr>
      <w:keepLines/>
      <w:tabs>
        <w:tab w:val="right" w:leader="dot" w:pos="9288"/>
      </w:tabs>
      <w:spacing w:after="120"/>
      <w:ind w:left="5760" w:right="720" w:hanging="720"/>
    </w:pPr>
    <w:rPr>
      <w:rFonts w:eastAsia="Times New Roman"/>
      <w:szCs w:val="20"/>
      <w:lang w:eastAsia="en-US"/>
    </w:rPr>
  </w:style>
  <w:style w:type="paragraph" w:styleId="TOC9">
    <w:name w:val="toc 9"/>
    <w:basedOn w:val="Normal"/>
    <w:next w:val="Normal"/>
    <w:autoRedefine/>
    <w:uiPriority w:val="39"/>
    <w:semiHidden/>
    <w:unhideWhenUsed/>
    <w:rsid w:val="00972855"/>
    <w:pPr>
      <w:keepLines/>
      <w:tabs>
        <w:tab w:val="right" w:leader="dot" w:pos="9288"/>
      </w:tabs>
      <w:spacing w:after="120"/>
      <w:ind w:left="6480" w:right="720" w:hanging="720"/>
    </w:pPr>
    <w:rPr>
      <w:rFonts w:eastAsia="Times New Roman"/>
      <w:szCs w:val="20"/>
      <w:lang w:eastAsia="en-US"/>
    </w:rPr>
  </w:style>
  <w:style w:type="character" w:customStyle="1" w:styleId="FootnoteTextChar">
    <w:name w:val="Footnote Text Char"/>
    <w:basedOn w:val="DefaultParagraphFont"/>
    <w:link w:val="FootnoteText"/>
    <w:uiPriority w:val="99"/>
    <w:semiHidden/>
    <w:rsid w:val="00186CEE"/>
    <w:rPr>
      <w:lang w:eastAsia="zh-CN"/>
    </w:rPr>
  </w:style>
  <w:style w:type="character" w:customStyle="1" w:styleId="FooterChar">
    <w:name w:val="Footer Char"/>
    <w:basedOn w:val="DefaultParagraphFont"/>
    <w:link w:val="Footer"/>
    <w:uiPriority w:val="99"/>
    <w:rsid w:val="007A2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5571">
      <w:bodyDiv w:val="1"/>
      <w:marLeft w:val="0"/>
      <w:marRight w:val="0"/>
      <w:marTop w:val="0"/>
      <w:marBottom w:val="0"/>
      <w:divBdr>
        <w:top w:val="none" w:sz="0" w:space="0" w:color="auto"/>
        <w:left w:val="none" w:sz="0" w:space="0" w:color="auto"/>
        <w:bottom w:val="none" w:sz="0" w:space="0" w:color="auto"/>
        <w:right w:val="none" w:sz="0" w:space="0" w:color="auto"/>
      </w:divBdr>
    </w:div>
    <w:div w:id="17702528">
      <w:bodyDiv w:val="1"/>
      <w:marLeft w:val="0"/>
      <w:marRight w:val="0"/>
      <w:marTop w:val="0"/>
      <w:marBottom w:val="0"/>
      <w:divBdr>
        <w:top w:val="none" w:sz="0" w:space="0" w:color="auto"/>
        <w:left w:val="none" w:sz="0" w:space="0" w:color="auto"/>
        <w:bottom w:val="none" w:sz="0" w:space="0" w:color="auto"/>
        <w:right w:val="none" w:sz="0" w:space="0" w:color="auto"/>
      </w:divBdr>
      <w:divsChild>
        <w:div w:id="1618023882">
          <w:marLeft w:val="0"/>
          <w:marRight w:val="0"/>
          <w:marTop w:val="0"/>
          <w:marBottom w:val="0"/>
          <w:divBdr>
            <w:top w:val="none" w:sz="0" w:space="0" w:color="auto"/>
            <w:left w:val="none" w:sz="0" w:space="0" w:color="auto"/>
            <w:bottom w:val="none" w:sz="0" w:space="0" w:color="auto"/>
            <w:right w:val="none" w:sz="0" w:space="0" w:color="auto"/>
          </w:divBdr>
        </w:div>
      </w:divsChild>
    </w:div>
    <w:div w:id="26411133">
      <w:bodyDiv w:val="1"/>
      <w:marLeft w:val="0"/>
      <w:marRight w:val="0"/>
      <w:marTop w:val="0"/>
      <w:marBottom w:val="0"/>
      <w:divBdr>
        <w:top w:val="none" w:sz="0" w:space="0" w:color="auto"/>
        <w:left w:val="none" w:sz="0" w:space="0" w:color="auto"/>
        <w:bottom w:val="none" w:sz="0" w:space="0" w:color="auto"/>
        <w:right w:val="none" w:sz="0" w:space="0" w:color="auto"/>
      </w:divBdr>
    </w:div>
    <w:div w:id="36123922">
      <w:bodyDiv w:val="1"/>
      <w:marLeft w:val="0"/>
      <w:marRight w:val="0"/>
      <w:marTop w:val="0"/>
      <w:marBottom w:val="0"/>
      <w:divBdr>
        <w:top w:val="none" w:sz="0" w:space="0" w:color="auto"/>
        <w:left w:val="none" w:sz="0" w:space="0" w:color="auto"/>
        <w:bottom w:val="none" w:sz="0" w:space="0" w:color="auto"/>
        <w:right w:val="none" w:sz="0" w:space="0" w:color="auto"/>
      </w:divBdr>
    </w:div>
    <w:div w:id="68424857">
      <w:bodyDiv w:val="1"/>
      <w:marLeft w:val="0"/>
      <w:marRight w:val="0"/>
      <w:marTop w:val="0"/>
      <w:marBottom w:val="0"/>
      <w:divBdr>
        <w:top w:val="none" w:sz="0" w:space="0" w:color="auto"/>
        <w:left w:val="none" w:sz="0" w:space="0" w:color="auto"/>
        <w:bottom w:val="none" w:sz="0" w:space="0" w:color="auto"/>
        <w:right w:val="none" w:sz="0" w:space="0" w:color="auto"/>
      </w:divBdr>
    </w:div>
    <w:div w:id="412973370">
      <w:bodyDiv w:val="1"/>
      <w:marLeft w:val="0"/>
      <w:marRight w:val="0"/>
      <w:marTop w:val="0"/>
      <w:marBottom w:val="0"/>
      <w:divBdr>
        <w:top w:val="none" w:sz="0" w:space="0" w:color="auto"/>
        <w:left w:val="none" w:sz="0" w:space="0" w:color="auto"/>
        <w:bottom w:val="none" w:sz="0" w:space="0" w:color="auto"/>
        <w:right w:val="none" w:sz="0" w:space="0" w:color="auto"/>
      </w:divBdr>
    </w:div>
    <w:div w:id="424349681">
      <w:bodyDiv w:val="1"/>
      <w:marLeft w:val="0"/>
      <w:marRight w:val="0"/>
      <w:marTop w:val="0"/>
      <w:marBottom w:val="0"/>
      <w:divBdr>
        <w:top w:val="none" w:sz="0" w:space="0" w:color="auto"/>
        <w:left w:val="none" w:sz="0" w:space="0" w:color="auto"/>
        <w:bottom w:val="none" w:sz="0" w:space="0" w:color="auto"/>
        <w:right w:val="none" w:sz="0" w:space="0" w:color="auto"/>
      </w:divBdr>
    </w:div>
    <w:div w:id="465858810">
      <w:bodyDiv w:val="1"/>
      <w:marLeft w:val="0"/>
      <w:marRight w:val="0"/>
      <w:marTop w:val="0"/>
      <w:marBottom w:val="0"/>
      <w:divBdr>
        <w:top w:val="none" w:sz="0" w:space="0" w:color="auto"/>
        <w:left w:val="none" w:sz="0" w:space="0" w:color="auto"/>
        <w:bottom w:val="none" w:sz="0" w:space="0" w:color="auto"/>
        <w:right w:val="none" w:sz="0" w:space="0" w:color="auto"/>
      </w:divBdr>
    </w:div>
    <w:div w:id="516773687">
      <w:bodyDiv w:val="1"/>
      <w:marLeft w:val="0"/>
      <w:marRight w:val="0"/>
      <w:marTop w:val="0"/>
      <w:marBottom w:val="0"/>
      <w:divBdr>
        <w:top w:val="none" w:sz="0" w:space="0" w:color="auto"/>
        <w:left w:val="none" w:sz="0" w:space="0" w:color="auto"/>
        <w:bottom w:val="none" w:sz="0" w:space="0" w:color="auto"/>
        <w:right w:val="none" w:sz="0" w:space="0" w:color="auto"/>
      </w:divBdr>
    </w:div>
    <w:div w:id="643200083">
      <w:bodyDiv w:val="1"/>
      <w:marLeft w:val="0"/>
      <w:marRight w:val="0"/>
      <w:marTop w:val="0"/>
      <w:marBottom w:val="0"/>
      <w:divBdr>
        <w:top w:val="none" w:sz="0" w:space="0" w:color="auto"/>
        <w:left w:val="none" w:sz="0" w:space="0" w:color="auto"/>
        <w:bottom w:val="none" w:sz="0" w:space="0" w:color="auto"/>
        <w:right w:val="none" w:sz="0" w:space="0" w:color="auto"/>
      </w:divBdr>
    </w:div>
    <w:div w:id="723451962">
      <w:bodyDiv w:val="1"/>
      <w:marLeft w:val="0"/>
      <w:marRight w:val="0"/>
      <w:marTop w:val="0"/>
      <w:marBottom w:val="0"/>
      <w:divBdr>
        <w:top w:val="none" w:sz="0" w:space="0" w:color="auto"/>
        <w:left w:val="none" w:sz="0" w:space="0" w:color="auto"/>
        <w:bottom w:val="none" w:sz="0" w:space="0" w:color="auto"/>
        <w:right w:val="none" w:sz="0" w:space="0" w:color="auto"/>
      </w:divBdr>
    </w:div>
    <w:div w:id="842160820">
      <w:bodyDiv w:val="1"/>
      <w:marLeft w:val="0"/>
      <w:marRight w:val="0"/>
      <w:marTop w:val="0"/>
      <w:marBottom w:val="0"/>
      <w:divBdr>
        <w:top w:val="none" w:sz="0" w:space="0" w:color="auto"/>
        <w:left w:val="none" w:sz="0" w:space="0" w:color="auto"/>
        <w:bottom w:val="none" w:sz="0" w:space="0" w:color="auto"/>
        <w:right w:val="none" w:sz="0" w:space="0" w:color="auto"/>
      </w:divBdr>
    </w:div>
    <w:div w:id="975184480">
      <w:bodyDiv w:val="1"/>
      <w:marLeft w:val="0"/>
      <w:marRight w:val="0"/>
      <w:marTop w:val="0"/>
      <w:marBottom w:val="0"/>
      <w:divBdr>
        <w:top w:val="none" w:sz="0" w:space="0" w:color="auto"/>
        <w:left w:val="none" w:sz="0" w:space="0" w:color="auto"/>
        <w:bottom w:val="none" w:sz="0" w:space="0" w:color="auto"/>
        <w:right w:val="none" w:sz="0" w:space="0" w:color="auto"/>
      </w:divBdr>
      <w:divsChild>
        <w:div w:id="1985503774">
          <w:marLeft w:val="0"/>
          <w:marRight w:val="0"/>
          <w:marTop w:val="0"/>
          <w:marBottom w:val="0"/>
          <w:divBdr>
            <w:top w:val="none" w:sz="0" w:space="0" w:color="auto"/>
            <w:left w:val="none" w:sz="0" w:space="0" w:color="auto"/>
            <w:bottom w:val="none" w:sz="0" w:space="0" w:color="auto"/>
            <w:right w:val="none" w:sz="0" w:space="0" w:color="auto"/>
          </w:divBdr>
        </w:div>
      </w:divsChild>
    </w:div>
    <w:div w:id="1011951675">
      <w:bodyDiv w:val="1"/>
      <w:marLeft w:val="0"/>
      <w:marRight w:val="0"/>
      <w:marTop w:val="0"/>
      <w:marBottom w:val="0"/>
      <w:divBdr>
        <w:top w:val="none" w:sz="0" w:space="0" w:color="auto"/>
        <w:left w:val="none" w:sz="0" w:space="0" w:color="auto"/>
        <w:bottom w:val="none" w:sz="0" w:space="0" w:color="auto"/>
        <w:right w:val="none" w:sz="0" w:space="0" w:color="auto"/>
      </w:divBdr>
    </w:div>
    <w:div w:id="1054432090">
      <w:bodyDiv w:val="1"/>
      <w:marLeft w:val="0"/>
      <w:marRight w:val="0"/>
      <w:marTop w:val="0"/>
      <w:marBottom w:val="0"/>
      <w:divBdr>
        <w:top w:val="none" w:sz="0" w:space="0" w:color="auto"/>
        <w:left w:val="none" w:sz="0" w:space="0" w:color="auto"/>
        <w:bottom w:val="none" w:sz="0" w:space="0" w:color="auto"/>
        <w:right w:val="none" w:sz="0" w:space="0" w:color="auto"/>
      </w:divBdr>
      <w:divsChild>
        <w:div w:id="172115080">
          <w:marLeft w:val="0"/>
          <w:marRight w:val="0"/>
          <w:marTop w:val="0"/>
          <w:marBottom w:val="0"/>
          <w:divBdr>
            <w:top w:val="none" w:sz="0" w:space="0" w:color="auto"/>
            <w:left w:val="none" w:sz="0" w:space="0" w:color="auto"/>
            <w:bottom w:val="none" w:sz="0" w:space="0" w:color="auto"/>
            <w:right w:val="none" w:sz="0" w:space="0" w:color="auto"/>
          </w:divBdr>
        </w:div>
      </w:divsChild>
    </w:div>
    <w:div w:id="1067147455">
      <w:bodyDiv w:val="1"/>
      <w:marLeft w:val="0"/>
      <w:marRight w:val="0"/>
      <w:marTop w:val="0"/>
      <w:marBottom w:val="0"/>
      <w:divBdr>
        <w:top w:val="none" w:sz="0" w:space="0" w:color="auto"/>
        <w:left w:val="none" w:sz="0" w:space="0" w:color="auto"/>
        <w:bottom w:val="none" w:sz="0" w:space="0" w:color="auto"/>
        <w:right w:val="none" w:sz="0" w:space="0" w:color="auto"/>
      </w:divBdr>
    </w:div>
    <w:div w:id="1121724509">
      <w:bodyDiv w:val="1"/>
      <w:marLeft w:val="0"/>
      <w:marRight w:val="0"/>
      <w:marTop w:val="0"/>
      <w:marBottom w:val="0"/>
      <w:divBdr>
        <w:top w:val="none" w:sz="0" w:space="0" w:color="auto"/>
        <w:left w:val="none" w:sz="0" w:space="0" w:color="auto"/>
        <w:bottom w:val="none" w:sz="0" w:space="0" w:color="auto"/>
        <w:right w:val="none" w:sz="0" w:space="0" w:color="auto"/>
      </w:divBdr>
    </w:div>
    <w:div w:id="1192844631">
      <w:bodyDiv w:val="1"/>
      <w:marLeft w:val="0"/>
      <w:marRight w:val="0"/>
      <w:marTop w:val="0"/>
      <w:marBottom w:val="0"/>
      <w:divBdr>
        <w:top w:val="none" w:sz="0" w:space="0" w:color="auto"/>
        <w:left w:val="none" w:sz="0" w:space="0" w:color="auto"/>
        <w:bottom w:val="none" w:sz="0" w:space="0" w:color="auto"/>
        <w:right w:val="none" w:sz="0" w:space="0" w:color="auto"/>
      </w:divBdr>
    </w:div>
    <w:div w:id="1218665712">
      <w:bodyDiv w:val="1"/>
      <w:marLeft w:val="0"/>
      <w:marRight w:val="0"/>
      <w:marTop w:val="0"/>
      <w:marBottom w:val="0"/>
      <w:divBdr>
        <w:top w:val="none" w:sz="0" w:space="0" w:color="auto"/>
        <w:left w:val="none" w:sz="0" w:space="0" w:color="auto"/>
        <w:bottom w:val="none" w:sz="0" w:space="0" w:color="auto"/>
        <w:right w:val="none" w:sz="0" w:space="0" w:color="auto"/>
      </w:divBdr>
    </w:div>
    <w:div w:id="1240869368">
      <w:bodyDiv w:val="1"/>
      <w:marLeft w:val="0"/>
      <w:marRight w:val="0"/>
      <w:marTop w:val="0"/>
      <w:marBottom w:val="0"/>
      <w:divBdr>
        <w:top w:val="none" w:sz="0" w:space="0" w:color="auto"/>
        <w:left w:val="none" w:sz="0" w:space="0" w:color="auto"/>
        <w:bottom w:val="none" w:sz="0" w:space="0" w:color="auto"/>
        <w:right w:val="none" w:sz="0" w:space="0" w:color="auto"/>
      </w:divBdr>
    </w:div>
    <w:div w:id="1299729120">
      <w:bodyDiv w:val="1"/>
      <w:marLeft w:val="0"/>
      <w:marRight w:val="0"/>
      <w:marTop w:val="0"/>
      <w:marBottom w:val="0"/>
      <w:divBdr>
        <w:top w:val="none" w:sz="0" w:space="0" w:color="auto"/>
        <w:left w:val="none" w:sz="0" w:space="0" w:color="auto"/>
        <w:bottom w:val="none" w:sz="0" w:space="0" w:color="auto"/>
        <w:right w:val="none" w:sz="0" w:space="0" w:color="auto"/>
      </w:divBdr>
    </w:div>
    <w:div w:id="1315910583">
      <w:bodyDiv w:val="1"/>
      <w:marLeft w:val="0"/>
      <w:marRight w:val="0"/>
      <w:marTop w:val="0"/>
      <w:marBottom w:val="0"/>
      <w:divBdr>
        <w:top w:val="none" w:sz="0" w:space="0" w:color="auto"/>
        <w:left w:val="none" w:sz="0" w:space="0" w:color="auto"/>
        <w:bottom w:val="none" w:sz="0" w:space="0" w:color="auto"/>
        <w:right w:val="none" w:sz="0" w:space="0" w:color="auto"/>
      </w:divBdr>
    </w:div>
    <w:div w:id="1390107684">
      <w:bodyDiv w:val="1"/>
      <w:marLeft w:val="0"/>
      <w:marRight w:val="0"/>
      <w:marTop w:val="0"/>
      <w:marBottom w:val="0"/>
      <w:divBdr>
        <w:top w:val="none" w:sz="0" w:space="0" w:color="auto"/>
        <w:left w:val="none" w:sz="0" w:space="0" w:color="auto"/>
        <w:bottom w:val="none" w:sz="0" w:space="0" w:color="auto"/>
        <w:right w:val="none" w:sz="0" w:space="0" w:color="auto"/>
      </w:divBdr>
    </w:div>
    <w:div w:id="1445542831">
      <w:bodyDiv w:val="1"/>
      <w:marLeft w:val="0"/>
      <w:marRight w:val="0"/>
      <w:marTop w:val="0"/>
      <w:marBottom w:val="0"/>
      <w:divBdr>
        <w:top w:val="none" w:sz="0" w:space="0" w:color="auto"/>
        <w:left w:val="none" w:sz="0" w:space="0" w:color="auto"/>
        <w:bottom w:val="none" w:sz="0" w:space="0" w:color="auto"/>
        <w:right w:val="none" w:sz="0" w:space="0" w:color="auto"/>
      </w:divBdr>
      <w:divsChild>
        <w:div w:id="43220392">
          <w:marLeft w:val="0"/>
          <w:marRight w:val="0"/>
          <w:marTop w:val="0"/>
          <w:marBottom w:val="0"/>
          <w:divBdr>
            <w:top w:val="none" w:sz="0" w:space="0" w:color="auto"/>
            <w:left w:val="none" w:sz="0" w:space="0" w:color="auto"/>
            <w:bottom w:val="none" w:sz="0" w:space="0" w:color="auto"/>
            <w:right w:val="none" w:sz="0" w:space="0" w:color="auto"/>
          </w:divBdr>
        </w:div>
      </w:divsChild>
    </w:div>
    <w:div w:id="1604146299">
      <w:bodyDiv w:val="1"/>
      <w:marLeft w:val="0"/>
      <w:marRight w:val="0"/>
      <w:marTop w:val="0"/>
      <w:marBottom w:val="0"/>
      <w:divBdr>
        <w:top w:val="none" w:sz="0" w:space="0" w:color="auto"/>
        <w:left w:val="none" w:sz="0" w:space="0" w:color="auto"/>
        <w:bottom w:val="none" w:sz="0" w:space="0" w:color="auto"/>
        <w:right w:val="none" w:sz="0" w:space="0" w:color="auto"/>
      </w:divBdr>
      <w:divsChild>
        <w:div w:id="69622059">
          <w:marLeft w:val="0"/>
          <w:marRight w:val="0"/>
          <w:marTop w:val="0"/>
          <w:marBottom w:val="0"/>
          <w:divBdr>
            <w:top w:val="none" w:sz="0" w:space="0" w:color="auto"/>
            <w:left w:val="none" w:sz="0" w:space="0" w:color="auto"/>
            <w:bottom w:val="none" w:sz="0" w:space="0" w:color="auto"/>
            <w:right w:val="none" w:sz="0" w:space="0" w:color="auto"/>
          </w:divBdr>
        </w:div>
      </w:divsChild>
    </w:div>
    <w:div w:id="1627348467">
      <w:bodyDiv w:val="1"/>
      <w:marLeft w:val="0"/>
      <w:marRight w:val="0"/>
      <w:marTop w:val="0"/>
      <w:marBottom w:val="0"/>
      <w:divBdr>
        <w:top w:val="none" w:sz="0" w:space="0" w:color="auto"/>
        <w:left w:val="none" w:sz="0" w:space="0" w:color="auto"/>
        <w:bottom w:val="none" w:sz="0" w:space="0" w:color="auto"/>
        <w:right w:val="none" w:sz="0" w:space="0" w:color="auto"/>
      </w:divBdr>
      <w:divsChild>
        <w:div w:id="1511798473">
          <w:marLeft w:val="0"/>
          <w:marRight w:val="0"/>
          <w:marTop w:val="0"/>
          <w:marBottom w:val="0"/>
          <w:divBdr>
            <w:top w:val="none" w:sz="0" w:space="0" w:color="auto"/>
            <w:left w:val="none" w:sz="0" w:space="0" w:color="auto"/>
            <w:bottom w:val="none" w:sz="0" w:space="0" w:color="auto"/>
            <w:right w:val="none" w:sz="0" w:space="0" w:color="auto"/>
          </w:divBdr>
        </w:div>
      </w:divsChild>
    </w:div>
    <w:div w:id="1627660280">
      <w:bodyDiv w:val="1"/>
      <w:marLeft w:val="0"/>
      <w:marRight w:val="0"/>
      <w:marTop w:val="0"/>
      <w:marBottom w:val="0"/>
      <w:divBdr>
        <w:top w:val="none" w:sz="0" w:space="0" w:color="auto"/>
        <w:left w:val="none" w:sz="0" w:space="0" w:color="auto"/>
        <w:bottom w:val="none" w:sz="0" w:space="0" w:color="auto"/>
        <w:right w:val="none" w:sz="0" w:space="0" w:color="auto"/>
      </w:divBdr>
    </w:div>
    <w:div w:id="1691444912">
      <w:bodyDiv w:val="1"/>
      <w:marLeft w:val="0"/>
      <w:marRight w:val="0"/>
      <w:marTop w:val="0"/>
      <w:marBottom w:val="0"/>
      <w:divBdr>
        <w:top w:val="none" w:sz="0" w:space="0" w:color="auto"/>
        <w:left w:val="none" w:sz="0" w:space="0" w:color="auto"/>
        <w:bottom w:val="none" w:sz="0" w:space="0" w:color="auto"/>
        <w:right w:val="none" w:sz="0" w:space="0" w:color="auto"/>
      </w:divBdr>
    </w:div>
    <w:div w:id="1804615891">
      <w:bodyDiv w:val="1"/>
      <w:marLeft w:val="0"/>
      <w:marRight w:val="0"/>
      <w:marTop w:val="0"/>
      <w:marBottom w:val="0"/>
      <w:divBdr>
        <w:top w:val="none" w:sz="0" w:space="0" w:color="auto"/>
        <w:left w:val="none" w:sz="0" w:space="0" w:color="auto"/>
        <w:bottom w:val="none" w:sz="0" w:space="0" w:color="auto"/>
        <w:right w:val="none" w:sz="0" w:space="0" w:color="auto"/>
      </w:divBdr>
    </w:div>
    <w:div w:id="1839153619">
      <w:bodyDiv w:val="1"/>
      <w:marLeft w:val="0"/>
      <w:marRight w:val="0"/>
      <w:marTop w:val="0"/>
      <w:marBottom w:val="0"/>
      <w:divBdr>
        <w:top w:val="none" w:sz="0" w:space="0" w:color="auto"/>
        <w:left w:val="none" w:sz="0" w:space="0" w:color="auto"/>
        <w:bottom w:val="none" w:sz="0" w:space="0" w:color="auto"/>
        <w:right w:val="none" w:sz="0" w:space="0" w:color="auto"/>
      </w:divBdr>
    </w:div>
    <w:div w:id="1844011497">
      <w:bodyDiv w:val="1"/>
      <w:marLeft w:val="0"/>
      <w:marRight w:val="0"/>
      <w:marTop w:val="0"/>
      <w:marBottom w:val="0"/>
      <w:divBdr>
        <w:top w:val="none" w:sz="0" w:space="0" w:color="auto"/>
        <w:left w:val="none" w:sz="0" w:space="0" w:color="auto"/>
        <w:bottom w:val="none" w:sz="0" w:space="0" w:color="auto"/>
        <w:right w:val="none" w:sz="0" w:space="0" w:color="auto"/>
      </w:divBdr>
      <w:divsChild>
        <w:div w:id="1331907105">
          <w:marLeft w:val="0"/>
          <w:marRight w:val="0"/>
          <w:marTop w:val="0"/>
          <w:marBottom w:val="0"/>
          <w:divBdr>
            <w:top w:val="none" w:sz="0" w:space="0" w:color="auto"/>
            <w:left w:val="none" w:sz="0" w:space="0" w:color="auto"/>
            <w:bottom w:val="none" w:sz="0" w:space="0" w:color="auto"/>
            <w:right w:val="none" w:sz="0" w:space="0" w:color="auto"/>
          </w:divBdr>
        </w:div>
      </w:divsChild>
    </w:div>
    <w:div w:id="1867253281">
      <w:bodyDiv w:val="1"/>
      <w:marLeft w:val="0"/>
      <w:marRight w:val="0"/>
      <w:marTop w:val="0"/>
      <w:marBottom w:val="0"/>
      <w:divBdr>
        <w:top w:val="none" w:sz="0" w:space="0" w:color="auto"/>
        <w:left w:val="none" w:sz="0" w:space="0" w:color="auto"/>
        <w:bottom w:val="none" w:sz="0" w:space="0" w:color="auto"/>
        <w:right w:val="none" w:sz="0" w:space="0" w:color="auto"/>
      </w:divBdr>
    </w:div>
    <w:div w:id="1942637145">
      <w:bodyDiv w:val="1"/>
      <w:marLeft w:val="0"/>
      <w:marRight w:val="0"/>
      <w:marTop w:val="0"/>
      <w:marBottom w:val="0"/>
      <w:divBdr>
        <w:top w:val="none" w:sz="0" w:space="0" w:color="auto"/>
        <w:left w:val="none" w:sz="0" w:space="0" w:color="auto"/>
        <w:bottom w:val="none" w:sz="0" w:space="0" w:color="auto"/>
        <w:right w:val="none" w:sz="0" w:space="0" w:color="auto"/>
      </w:divBdr>
    </w:div>
    <w:div w:id="1971472506">
      <w:bodyDiv w:val="1"/>
      <w:marLeft w:val="0"/>
      <w:marRight w:val="0"/>
      <w:marTop w:val="0"/>
      <w:marBottom w:val="0"/>
      <w:divBdr>
        <w:top w:val="none" w:sz="0" w:space="0" w:color="auto"/>
        <w:left w:val="none" w:sz="0" w:space="0" w:color="auto"/>
        <w:bottom w:val="none" w:sz="0" w:space="0" w:color="auto"/>
        <w:right w:val="none" w:sz="0" w:space="0" w:color="auto"/>
      </w:divBdr>
    </w:div>
    <w:div w:id="209585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A678-62F6-42E7-AD75-DB893F218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4882</Words>
  <Characters>25731</Characters>
  <Application>Microsoft Office Word</Application>
  <DocSecurity>4</DocSecurity>
  <Lines>214</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2021-09-30T19:11:00Z</dcterms:created>
  <dcterms:modified xsi:type="dcterms:W3CDTF">2021-09-30T19:11:00Z</dcterms:modified>
  <cp:contentStatus/>
</cp:coreProperties>
</file>